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72" w:rsidRPr="004478F5" w:rsidRDefault="00632A72" w:rsidP="004478F5">
      <w:pPr>
        <w:tabs>
          <w:tab w:val="left" w:pos="360"/>
          <w:tab w:val="left" w:pos="540"/>
        </w:tabs>
        <w:jc w:val="center"/>
      </w:pPr>
      <w:r w:rsidRPr="004478F5">
        <w:rPr>
          <w:noProof/>
          <w:lang w:eastAsia="ru-RU"/>
        </w:rPr>
        <w:drawing>
          <wp:inline distT="0" distB="0" distL="0" distR="0">
            <wp:extent cx="6000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A72" w:rsidRPr="004478F5" w:rsidRDefault="00632A72" w:rsidP="004478F5">
      <w:pPr>
        <w:ind w:firstLine="557"/>
        <w:jc w:val="center"/>
      </w:pPr>
    </w:p>
    <w:p w:rsidR="00632A72" w:rsidRPr="004478F5" w:rsidRDefault="00632A72" w:rsidP="004478F5">
      <w:pPr>
        <w:jc w:val="center"/>
        <w:rPr>
          <w:sz w:val="28"/>
          <w:szCs w:val="28"/>
        </w:rPr>
      </w:pPr>
      <w:r w:rsidRPr="004478F5">
        <w:rPr>
          <w:sz w:val="28"/>
          <w:szCs w:val="28"/>
        </w:rPr>
        <w:t>АДМИНИСТРАЦИЯ ПИЛЬНИНСКОГО МУНИЦИПАЛЬНОГО ОКРУГА</w:t>
      </w:r>
    </w:p>
    <w:p w:rsidR="00632A72" w:rsidRPr="004478F5" w:rsidRDefault="00632A72" w:rsidP="004478F5">
      <w:pPr>
        <w:jc w:val="center"/>
        <w:rPr>
          <w:b/>
          <w:bCs/>
          <w:sz w:val="28"/>
          <w:szCs w:val="28"/>
        </w:rPr>
      </w:pPr>
      <w:r w:rsidRPr="004478F5">
        <w:rPr>
          <w:sz w:val="28"/>
          <w:szCs w:val="28"/>
        </w:rPr>
        <w:t>НИЖЕГОРОДСКОЙ ОБЛАСТИ</w:t>
      </w:r>
    </w:p>
    <w:p w:rsidR="004478F5" w:rsidRDefault="004478F5" w:rsidP="004478F5">
      <w:pPr>
        <w:jc w:val="center"/>
        <w:rPr>
          <w:b/>
          <w:bCs/>
          <w:sz w:val="32"/>
          <w:szCs w:val="32"/>
        </w:rPr>
      </w:pPr>
    </w:p>
    <w:p w:rsidR="00632A72" w:rsidRPr="004478F5" w:rsidRDefault="00632A72" w:rsidP="004478F5">
      <w:pPr>
        <w:jc w:val="center"/>
        <w:rPr>
          <w:b/>
          <w:bCs/>
          <w:sz w:val="32"/>
          <w:szCs w:val="32"/>
        </w:rPr>
      </w:pPr>
      <w:r w:rsidRPr="004478F5">
        <w:rPr>
          <w:b/>
          <w:bCs/>
          <w:sz w:val="32"/>
          <w:szCs w:val="32"/>
        </w:rPr>
        <w:t>ПОСТАНОВЛЕНИЕ</w:t>
      </w:r>
      <w:r w:rsidRPr="004478F5">
        <w:rPr>
          <w:bCs/>
          <w:sz w:val="32"/>
          <w:szCs w:val="32"/>
        </w:rPr>
        <w:t xml:space="preserve"> </w:t>
      </w:r>
    </w:p>
    <w:p w:rsidR="00632A72" w:rsidRPr="004478F5" w:rsidRDefault="00632A72" w:rsidP="004478F5">
      <w:pPr>
        <w:ind w:firstLine="557"/>
        <w:rPr>
          <w:b/>
          <w:bCs/>
        </w:rPr>
      </w:pPr>
    </w:p>
    <w:p w:rsidR="00632A72" w:rsidRPr="004478F5" w:rsidRDefault="0055384D" w:rsidP="004478F5">
      <w:pPr>
        <w:jc w:val="center"/>
      </w:pPr>
      <w:r>
        <w:rPr>
          <w:bCs/>
        </w:rPr>
        <w:t xml:space="preserve">от «20 »   февраля   2026 года </w:t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№  126</w:t>
      </w:r>
    </w:p>
    <w:p w:rsidR="00632A72" w:rsidRPr="004478F5" w:rsidRDefault="00632A72" w:rsidP="004478F5">
      <w:pPr>
        <w:ind w:firstLine="557"/>
        <w:jc w:val="center"/>
      </w:pPr>
    </w:p>
    <w:bookmarkStart w:id="0" w:name="_GoBack"/>
    <w:p w:rsidR="00632A72" w:rsidRPr="004478F5" w:rsidRDefault="0055384D" w:rsidP="004478F5">
      <w:pPr>
        <w:pStyle w:val="4"/>
        <w:shd w:val="clear" w:color="auto" w:fill="FFFFFF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"https://pilna.nobl.ru/documents/active/270796/" </w:instrText>
      </w:r>
      <w:r>
        <w:fldChar w:fldCharType="separate"/>
      </w:r>
      <w:r w:rsidR="004478F5" w:rsidRPr="004478F5">
        <w:rPr>
          <w:rFonts w:ascii="Times New Roman" w:hAnsi="Times New Roman"/>
          <w:sz w:val="24"/>
          <w:szCs w:val="24"/>
        </w:rPr>
        <w:t>О внесении изменений в  административный регламент</w:t>
      </w:r>
      <w:r w:rsidR="00632A72" w:rsidRPr="004478F5">
        <w:rPr>
          <w:rFonts w:ascii="Times New Roman" w:hAnsi="Times New Roman"/>
          <w:sz w:val="24"/>
          <w:szCs w:val="24"/>
        </w:rPr>
        <w:t xml:space="preserve"> администрации Пи</w:t>
      </w:r>
      <w:r w:rsidR="00B91578" w:rsidRPr="004478F5">
        <w:rPr>
          <w:rFonts w:ascii="Times New Roman" w:hAnsi="Times New Roman"/>
          <w:sz w:val="24"/>
          <w:szCs w:val="24"/>
        </w:rPr>
        <w:t>льнинского муниципального района</w:t>
      </w:r>
      <w:r w:rsidR="00632A72" w:rsidRPr="004478F5">
        <w:rPr>
          <w:rFonts w:ascii="Times New Roman" w:hAnsi="Times New Roman"/>
          <w:sz w:val="24"/>
          <w:szCs w:val="24"/>
        </w:rPr>
        <w:t xml:space="preserve"> Нижегородской области по предоставлению муниципальной услуги «</w:t>
      </w:r>
      <w:r w:rsidR="00B91578" w:rsidRPr="004478F5">
        <w:rPr>
          <w:rFonts w:ascii="Times New Roman" w:hAnsi="Times New Roman"/>
          <w:sz w:val="24"/>
          <w:szCs w:val="24"/>
        </w:rPr>
        <w:t>Подготовка и выдача разрешений на строительство, реконструкцию объектов капитального строительства и продление срока действия разрешения на строительство на территории Пильнинского муниципального района Нижегородской области</w:t>
      </w:r>
      <w:r w:rsidR="00632A72" w:rsidRPr="004478F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fldChar w:fldCharType="end"/>
      </w:r>
      <w:r w:rsidR="004478F5" w:rsidRPr="004478F5">
        <w:rPr>
          <w:rFonts w:ascii="Times New Roman" w:hAnsi="Times New Roman"/>
          <w:sz w:val="24"/>
          <w:szCs w:val="24"/>
        </w:rPr>
        <w:t xml:space="preserve"> утвержденный  постановлением администрации Пильнинского муниципального района Нижегородской области от 10 ноября 2020 года № 593</w:t>
      </w:r>
    </w:p>
    <w:bookmarkEnd w:id="0"/>
    <w:p w:rsidR="00632A72" w:rsidRPr="004478F5" w:rsidRDefault="00632A72" w:rsidP="004478F5">
      <w:pPr>
        <w:ind w:firstLine="557"/>
        <w:jc w:val="center"/>
        <w:rPr>
          <w:b/>
          <w:bCs/>
        </w:rPr>
      </w:pPr>
    </w:p>
    <w:p w:rsidR="00632A72" w:rsidRPr="004478F5" w:rsidRDefault="00632A72" w:rsidP="004478F5">
      <w:pPr>
        <w:pStyle w:val="a3"/>
        <w:spacing w:before="0" w:after="0"/>
        <w:ind w:firstLine="557"/>
        <w:jc w:val="both"/>
      </w:pPr>
    </w:p>
    <w:p w:rsidR="00547412" w:rsidRPr="004478F5" w:rsidRDefault="00547412" w:rsidP="004478F5">
      <w:pPr>
        <w:ind w:firstLine="567"/>
        <w:jc w:val="both"/>
      </w:pPr>
      <w:r w:rsidRPr="004478F5"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27.07.2010 № 210-ФЗ «Об организации предоставления государственных и муниципальных услуг», Градостроительным кодексом Российской Федерации, Уставом Пи</w:t>
      </w:r>
      <w:r w:rsidR="00DF7071" w:rsidRPr="004478F5">
        <w:t>льнинского муниципального округа</w:t>
      </w:r>
      <w:r w:rsidRPr="004478F5">
        <w:t xml:space="preserve"> Нижегородской области, по результатам рассмотрения протеста прокуратуры Пильнинского района Нижегородской области</w:t>
      </w:r>
      <w:r w:rsidR="004478F5" w:rsidRPr="004478F5">
        <w:t xml:space="preserve"> от 10.02.2026 года № 06-01-2026</w:t>
      </w:r>
      <w:r w:rsidRPr="004478F5">
        <w:t>, в целях повышения качества исполнения и доступности муниципальных услуг, администрация района постановляет:</w:t>
      </w:r>
    </w:p>
    <w:p w:rsidR="00547412" w:rsidRPr="004478F5" w:rsidRDefault="00547412" w:rsidP="004478F5">
      <w:pPr>
        <w:ind w:firstLine="567"/>
        <w:jc w:val="both"/>
      </w:pPr>
    </w:p>
    <w:p w:rsidR="00632A72" w:rsidRPr="004478F5" w:rsidRDefault="00632A72" w:rsidP="004478F5">
      <w:pPr>
        <w:pStyle w:val="4"/>
        <w:shd w:val="clear" w:color="auto" w:fill="FFFFFF"/>
        <w:spacing w:before="0" w:after="0"/>
        <w:ind w:firstLine="557"/>
        <w:jc w:val="both"/>
        <w:rPr>
          <w:rFonts w:ascii="Times New Roman" w:hAnsi="Times New Roman"/>
          <w:sz w:val="24"/>
          <w:szCs w:val="24"/>
        </w:rPr>
      </w:pPr>
      <w:r w:rsidRPr="004478F5">
        <w:rPr>
          <w:rFonts w:ascii="Times New Roman" w:hAnsi="Times New Roman"/>
          <w:b w:val="0"/>
          <w:bCs w:val="0"/>
          <w:sz w:val="24"/>
          <w:szCs w:val="24"/>
        </w:rPr>
        <w:t xml:space="preserve">1. Внести </w:t>
      </w:r>
      <w:r w:rsidR="004478F5" w:rsidRPr="004478F5">
        <w:rPr>
          <w:rFonts w:ascii="Times New Roman" w:hAnsi="Times New Roman"/>
          <w:b w:val="0"/>
          <w:bCs w:val="0"/>
          <w:sz w:val="24"/>
          <w:szCs w:val="24"/>
        </w:rPr>
        <w:t>в  административный регламент администрации Пильнинского муниципального района Нижегородской области по предоставлению муниципальной услуги «Подготовка и выдача разрешений на строительство, реконструкцию объектов капитального строительства и продление срока действия разрешения на строительство на территории Пильнинского муниципального района Нижегородской области» утвержденный  постановлением администрации Пильнинского муниципального района Нижегородской области от 10 ноября 2020 года № 593 (далее – административный регламент)</w:t>
      </w:r>
      <w:r w:rsidR="0020350A" w:rsidRPr="004478F5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4478F5" w:rsidRPr="004478F5">
        <w:rPr>
          <w:rFonts w:ascii="Times New Roman" w:hAnsi="Times New Roman"/>
          <w:b w:val="0"/>
          <w:bCs w:val="0"/>
          <w:sz w:val="24"/>
          <w:szCs w:val="24"/>
        </w:rPr>
        <w:t xml:space="preserve">изменения изложив </w:t>
      </w:r>
      <w:r w:rsidRPr="004478F5">
        <w:rPr>
          <w:rFonts w:ascii="Times New Roman" w:hAnsi="Times New Roman"/>
          <w:sz w:val="24"/>
          <w:szCs w:val="24"/>
        </w:rPr>
        <w:t xml:space="preserve"> </w:t>
      </w:r>
      <w:r w:rsidR="007E615B" w:rsidRPr="004478F5">
        <w:rPr>
          <w:rFonts w:ascii="Times New Roman" w:hAnsi="Times New Roman"/>
          <w:b w:val="0"/>
          <w:sz w:val="24"/>
          <w:szCs w:val="24"/>
        </w:rPr>
        <w:t>пункт 2.6</w:t>
      </w:r>
      <w:r w:rsidRPr="004478F5">
        <w:rPr>
          <w:rFonts w:ascii="Times New Roman" w:hAnsi="Times New Roman"/>
          <w:b w:val="0"/>
          <w:sz w:val="24"/>
          <w:szCs w:val="24"/>
        </w:rPr>
        <w:t xml:space="preserve"> административного регламента в следующей редакции:</w:t>
      </w:r>
    </w:p>
    <w:p w:rsidR="006A4DDA" w:rsidRPr="004478F5" w:rsidRDefault="007E615B" w:rsidP="004478F5">
      <w:pPr>
        <w:pStyle w:val="a3"/>
        <w:tabs>
          <w:tab w:val="left" w:pos="0"/>
          <w:tab w:val="left" w:pos="360"/>
        </w:tabs>
        <w:suppressAutoHyphens/>
        <w:spacing w:before="0" w:after="0"/>
        <w:ind w:firstLine="557"/>
        <w:jc w:val="both"/>
      </w:pPr>
      <w:r w:rsidRPr="004478F5">
        <w:t>«</w:t>
      </w:r>
      <w:r w:rsidRPr="004478F5">
        <w:rPr>
          <w:b/>
        </w:rPr>
        <w:t xml:space="preserve">2.6. Перечень документов необходимых в соответствии с нормативными </w:t>
      </w:r>
      <w:r w:rsidR="004478F5" w:rsidRPr="004478F5">
        <w:rPr>
          <w:b/>
        </w:rPr>
        <w:t>правовыми</w:t>
      </w:r>
      <w:r w:rsidRPr="004478F5">
        <w:rPr>
          <w:b/>
        </w:rPr>
        <w:t xml:space="preserve"> актами для предоставления Муниципальной услуги и порядок их предоставления</w:t>
      </w:r>
      <w:r w:rsidRPr="004478F5">
        <w:t xml:space="preserve"> </w:t>
      </w:r>
    </w:p>
    <w:p w:rsidR="008A0655" w:rsidRPr="004478F5" w:rsidRDefault="00861C99" w:rsidP="004478F5">
      <w:pPr>
        <w:shd w:val="clear" w:color="auto" w:fill="FFFFFF"/>
        <w:ind w:firstLine="709"/>
        <w:jc w:val="both"/>
        <w:rPr>
          <w:rFonts w:eastAsiaTheme="minorHAnsi"/>
          <w:color w:val="FF0000"/>
          <w:lang w:eastAsia="en-US"/>
        </w:rPr>
      </w:pPr>
      <w:r w:rsidRPr="004478F5">
        <w:t xml:space="preserve"> </w:t>
      </w:r>
      <w:r w:rsidR="008A0655" w:rsidRPr="004478F5">
        <w:t>2.6.1. В целях строительства, реконструкции объекта капитального строительства Заявитель направляет заявление о выдаче разрешения на строительство в адрес Администрации или ГБУ НО «УМФЦ». К указанному заявлению прилагаются следующие документы: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 xml:space="preserve">1) 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частями 1.1 и 1.2 статьи 57.3 </w:t>
      </w:r>
      <w:r w:rsidRPr="004478F5">
        <w:t>Градостроительного кодекса</w:t>
      </w:r>
      <w:r w:rsidRPr="004478F5">
        <w:rPr>
          <w:rFonts w:eastAsiaTheme="minorHAnsi"/>
          <w:lang w:eastAsia="en-US"/>
        </w:rPr>
        <w:t>, если иное не установлено частью 7.3 настоящей статьи;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 xml:space="preserve">       1.1)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4478F5">
        <w:rPr>
          <w:rFonts w:eastAsiaTheme="minorHAnsi"/>
          <w:lang w:eastAsia="en-US"/>
        </w:rPr>
        <w:t>Росатом</w:t>
      </w:r>
      <w:proofErr w:type="spellEnd"/>
      <w:r w:rsidRPr="004478F5">
        <w:rPr>
          <w:rFonts w:eastAsiaTheme="minorHAnsi"/>
          <w:lang w:eastAsia="en-US"/>
        </w:rPr>
        <w:t>", Государственной корпорацией по космической деятельности "</w:t>
      </w:r>
      <w:proofErr w:type="spellStart"/>
      <w:r w:rsidRPr="004478F5">
        <w:rPr>
          <w:rFonts w:eastAsiaTheme="minorHAnsi"/>
          <w:lang w:eastAsia="en-US"/>
        </w:rPr>
        <w:t>Роскосмос</w:t>
      </w:r>
      <w:proofErr w:type="spellEnd"/>
      <w:r w:rsidRPr="004478F5">
        <w:rPr>
          <w:rFonts w:eastAsiaTheme="minorHAnsi"/>
          <w:lang w:eastAsia="en-US"/>
        </w:rPr>
        <w:t xml:space="preserve">", органом управления государственным внебюджетным фондом или органом местного самоуправления полномочий государственного </w:t>
      </w:r>
      <w:r w:rsidRPr="004478F5">
        <w:rPr>
          <w:rFonts w:eastAsiaTheme="minorHAnsi"/>
          <w:lang w:eastAsia="en-US"/>
        </w:rPr>
        <w:lastRenderedPageBreak/>
        <w:t>(муниципального) заказчика, заключенного при осуществлении бюджетных инвестиций, - реквизиты указанного соглашения, правоустанавливающие документы на земельный участок правообладателя, с которым заключено это соглашение, в случае, если права на такой земельный участок не зарегистрированы в Едином государственном реестре недвижимости;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>2) реквизиты градостроительного плана земельного участка, выданного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 xml:space="preserve">3) результаты инженерных изысканий и следующие материалы, содержащиеся в утвержденной в соответствии с частью 15 статьи 48 </w:t>
      </w:r>
      <w:r w:rsidRPr="004478F5">
        <w:t>Градостроительного кодекса</w:t>
      </w:r>
      <w:r w:rsidRPr="004478F5">
        <w:rPr>
          <w:rFonts w:eastAsiaTheme="minorHAnsi"/>
          <w:lang w:eastAsia="en-US"/>
        </w:rPr>
        <w:t xml:space="preserve"> проектной документации: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>а) пояснительная записка;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 xml:space="preserve">4) реквизиты положительного заключения экспертизы проектной документации (в части соответствия проектной документации требованиям, указанным в пункте 1 части 5 статьи 49 настоящего Кодекса),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r w:rsidRPr="004478F5">
        <w:t>Градостроительного кодекса</w:t>
      </w:r>
      <w:r w:rsidRPr="004478F5">
        <w:rPr>
          <w:rFonts w:eastAsiaTheme="minorHAnsi"/>
          <w:lang w:eastAsia="en-US"/>
        </w:rPr>
        <w:t xml:space="preserve">), если такая проектная документация подлежит экспертизе в соответствии со статьей 49 настоящего Кодекса, реквизиты положительного заключения государственной экспертизы проектной документации в случаях, предусмотренных частью 3.4 статьи 49 </w:t>
      </w:r>
      <w:r w:rsidRPr="004478F5">
        <w:t>Градостроительного кодекса</w:t>
      </w:r>
      <w:r w:rsidRPr="004478F5">
        <w:rPr>
          <w:rFonts w:eastAsiaTheme="minorHAnsi"/>
          <w:lang w:eastAsia="en-US"/>
        </w:rPr>
        <w:t xml:space="preserve">, реквизиты положительного заключения государственной экологической экспертизы проектной документации в случаях, предусмотренных частью 6 статьи 49 </w:t>
      </w:r>
      <w:r w:rsidRPr="004478F5">
        <w:t>Градостроительного кодекса</w:t>
      </w:r>
      <w:r w:rsidRPr="004478F5">
        <w:rPr>
          <w:rFonts w:eastAsiaTheme="minorHAnsi"/>
          <w:lang w:eastAsia="en-US"/>
        </w:rPr>
        <w:t>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 xml:space="preserve">4.1) подтверждение соответствия вносимых в проектную документацию изменений требованиям, указанным в части 3.8 статьи 49 </w:t>
      </w:r>
      <w:r w:rsidRPr="004478F5">
        <w:t>Градостроительного кодекса</w:t>
      </w:r>
      <w:r w:rsidRPr="004478F5">
        <w:rPr>
          <w:rFonts w:eastAsiaTheme="minorHAnsi"/>
          <w:lang w:eastAsia="en-US"/>
        </w:rPr>
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</w:r>
      <w:r w:rsidRPr="004478F5">
        <w:t>Градостроительного кодекса</w:t>
      </w:r>
      <w:r w:rsidRPr="004478F5">
        <w:rPr>
          <w:rFonts w:eastAsiaTheme="minorHAnsi"/>
          <w:lang w:eastAsia="en-US"/>
        </w:rPr>
        <w:t>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 xml:space="preserve">4.2) сведения о подтверждении соответствия вносимых в проектную документацию изменений требованиям, указанным в части 3.9 статьи 49 </w:t>
      </w:r>
      <w:r w:rsidRPr="004478F5">
        <w:t>Градостроительного кодекса</w:t>
      </w:r>
      <w:r w:rsidRPr="004478F5">
        <w:rPr>
          <w:rFonts w:eastAsiaTheme="minorHAnsi"/>
          <w:lang w:eastAsia="en-US"/>
        </w:rPr>
        <w:t xml:space="preserve">, предоставленное органом исполнительной власти или организацией, проводившими экспертизу </w:t>
      </w:r>
      <w:r w:rsidRPr="004478F5">
        <w:rPr>
          <w:rFonts w:eastAsiaTheme="minorHAnsi"/>
          <w:lang w:eastAsia="en-US"/>
        </w:rPr>
        <w:lastRenderedPageBreak/>
        <w:t xml:space="preserve">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r w:rsidRPr="004478F5">
        <w:t>Градостроительного кодекса</w:t>
      </w:r>
      <w:r w:rsidRPr="004478F5">
        <w:rPr>
          <w:rFonts w:eastAsiaTheme="minorHAnsi"/>
          <w:lang w:eastAsia="en-US"/>
        </w:rPr>
        <w:t>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 xml:space="preserve">5) реквизиты разрешения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r w:rsidRPr="004478F5">
        <w:t>Градостроительного кодекса</w:t>
      </w:r>
      <w:r w:rsidRPr="004478F5">
        <w:rPr>
          <w:rFonts w:eastAsiaTheme="minorHAnsi"/>
          <w:lang w:eastAsia="en-US"/>
        </w:rPr>
        <w:t>);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 xml:space="preserve">5.1) реквизиты решения о согласовании архитектурно-градостроительного облика и наименование уполномоченного органа местного самоуправления, принявшего решение о согласовании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r w:rsidRPr="004478F5">
        <w:t>Градостроительного кодекса</w:t>
      </w:r>
      <w:r w:rsidRPr="004478F5">
        <w:rPr>
          <w:rFonts w:eastAsiaTheme="minorHAnsi"/>
          <w:lang w:eastAsia="en-US"/>
        </w:rPr>
        <w:t>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>6) согласие всех правообладателей объекта капитального строительства в случае реконструкции такого объекта, за исключением указанных в пункте 6.2 настоящей части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>6.1)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4478F5">
        <w:rPr>
          <w:rFonts w:eastAsiaTheme="minorHAnsi"/>
          <w:lang w:eastAsia="en-US"/>
        </w:rPr>
        <w:t>Росатом</w:t>
      </w:r>
      <w:proofErr w:type="spellEnd"/>
      <w:r w:rsidRPr="004478F5">
        <w:rPr>
          <w:rFonts w:eastAsiaTheme="minorHAnsi"/>
          <w:lang w:eastAsia="en-US"/>
        </w:rPr>
        <w:t>", Государственной корпорацией по космической деятельности "</w:t>
      </w:r>
      <w:proofErr w:type="spellStart"/>
      <w:r w:rsidRPr="004478F5">
        <w:rPr>
          <w:rFonts w:eastAsiaTheme="minorHAnsi"/>
          <w:lang w:eastAsia="en-US"/>
        </w:rPr>
        <w:t>Роскосмос</w:t>
      </w:r>
      <w:proofErr w:type="spellEnd"/>
      <w:r w:rsidRPr="004478F5">
        <w:rPr>
          <w:rFonts w:eastAsiaTheme="minorHAnsi"/>
          <w:lang w:eastAsia="en-US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" w:name="Par28"/>
      <w:bookmarkEnd w:id="1"/>
      <w:r w:rsidRPr="004478F5">
        <w:rPr>
          <w:rFonts w:eastAsiaTheme="minorHAnsi"/>
          <w:lang w:eastAsia="en-US"/>
        </w:rPr>
        <w:t xml:space="preserve">6.2) решение общего собрания собственников помещений и </w:t>
      </w:r>
      <w:proofErr w:type="spellStart"/>
      <w:r w:rsidRPr="004478F5">
        <w:rPr>
          <w:rFonts w:eastAsiaTheme="minorHAnsi"/>
          <w:lang w:eastAsia="en-US"/>
        </w:rPr>
        <w:t>машино</w:t>
      </w:r>
      <w:proofErr w:type="spellEnd"/>
      <w:r w:rsidRPr="004478F5">
        <w:rPr>
          <w:rFonts w:eastAsiaTheme="minorHAnsi"/>
          <w:lang w:eastAsia="en-US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4478F5">
        <w:rPr>
          <w:rFonts w:eastAsiaTheme="minorHAnsi"/>
          <w:lang w:eastAsia="en-US"/>
        </w:rPr>
        <w:t>машино</w:t>
      </w:r>
      <w:proofErr w:type="spellEnd"/>
      <w:r w:rsidRPr="004478F5">
        <w:rPr>
          <w:rFonts w:eastAsiaTheme="minorHAnsi"/>
          <w:lang w:eastAsia="en-US"/>
        </w:rPr>
        <w:t>-мест в многоквартирном доме;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>7)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>8) реквизиты решения и наименование уполномоченного органа,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>9) реквизиты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реквизиты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реквизитов таких договора о комплексном развитии территории и (или) решения не требуется;</w:t>
      </w:r>
    </w:p>
    <w:p w:rsidR="00DE6C5C" w:rsidRPr="004478F5" w:rsidRDefault="00DE6C5C" w:rsidP="004478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8F5">
        <w:rPr>
          <w:rFonts w:eastAsiaTheme="minorHAnsi"/>
          <w:lang w:eastAsia="en-US"/>
        </w:rPr>
        <w:t xml:space="preserve">10) подтверждение соответствия условиям застройки, предусмотренным статьей 10 Федерального закона от 27 декабря 2019 года N 468-ФЗ "О 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</w:t>
      </w:r>
      <w:r w:rsidRPr="004478F5">
        <w:rPr>
          <w:rFonts w:eastAsiaTheme="minorHAnsi"/>
          <w:lang w:eastAsia="en-US"/>
        </w:rPr>
        <w:lastRenderedPageBreak/>
        <w:t>аренды или ином законном основании винодельческим хозяйствам или виноградарским хозяйствам.</w:t>
      </w:r>
      <w:r w:rsidR="00C70F0D" w:rsidRPr="004478F5">
        <w:rPr>
          <w:rFonts w:eastAsiaTheme="minorHAnsi"/>
          <w:lang w:eastAsia="en-US"/>
        </w:rPr>
        <w:t xml:space="preserve"> »</w:t>
      </w:r>
    </w:p>
    <w:p w:rsidR="00F66D63" w:rsidRPr="004478F5" w:rsidRDefault="00F66D63" w:rsidP="004478F5">
      <w:pPr>
        <w:pStyle w:val="a3"/>
        <w:tabs>
          <w:tab w:val="left" w:pos="0"/>
          <w:tab w:val="left" w:pos="360"/>
        </w:tabs>
        <w:suppressAutoHyphens/>
        <w:spacing w:before="0" w:after="0"/>
        <w:jc w:val="both"/>
      </w:pPr>
    </w:p>
    <w:p w:rsidR="00632A72" w:rsidRPr="004478F5" w:rsidRDefault="00F66D63" w:rsidP="004478F5">
      <w:pPr>
        <w:pStyle w:val="a3"/>
        <w:tabs>
          <w:tab w:val="left" w:pos="0"/>
          <w:tab w:val="left" w:pos="360"/>
        </w:tabs>
        <w:suppressAutoHyphens/>
        <w:spacing w:before="0" w:after="0"/>
        <w:jc w:val="both"/>
      </w:pPr>
      <w:r w:rsidRPr="004478F5">
        <w:t xml:space="preserve">     </w:t>
      </w:r>
      <w:r w:rsidR="006A4DDA" w:rsidRPr="004478F5">
        <w:t xml:space="preserve"> 2. </w:t>
      </w:r>
      <w:r w:rsidRPr="004478F5">
        <w:t xml:space="preserve"> </w:t>
      </w:r>
      <w:r w:rsidR="004478F5">
        <w:t xml:space="preserve">Настоящее постановление вступает в силу с 01.03.2026 года. </w:t>
      </w:r>
    </w:p>
    <w:p w:rsidR="00547412" w:rsidRPr="004478F5" w:rsidRDefault="00C70F0D" w:rsidP="004478F5">
      <w:pPr>
        <w:pStyle w:val="a3"/>
        <w:tabs>
          <w:tab w:val="left" w:pos="284"/>
          <w:tab w:val="left" w:pos="360"/>
        </w:tabs>
        <w:suppressAutoHyphens/>
        <w:spacing w:before="0" w:after="0"/>
        <w:jc w:val="both"/>
      </w:pPr>
      <w:r w:rsidRPr="004478F5">
        <w:t xml:space="preserve">      3. </w:t>
      </w:r>
      <w:r w:rsidRPr="004478F5">
        <w:rPr>
          <w:bCs/>
          <w:kern w:val="1"/>
        </w:rPr>
        <w:t xml:space="preserve">Общему отделу управления по организационно-правовым и кадровым </w:t>
      </w:r>
      <w:r w:rsidR="004478F5" w:rsidRPr="004478F5">
        <w:rPr>
          <w:bCs/>
          <w:kern w:val="1"/>
        </w:rPr>
        <w:t>вопросам администрации</w:t>
      </w:r>
      <w:r w:rsidRPr="004478F5">
        <w:rPr>
          <w:bCs/>
          <w:kern w:val="1"/>
        </w:rPr>
        <w:t xml:space="preserve"> округа обеспечить опубликование настоящего постановления в газете «Сельская Трибуна» и размещение на официальном сайте органов местного самоуправления Пильнинского муниципального округа Нижегородской области.</w:t>
      </w:r>
    </w:p>
    <w:p w:rsidR="00632A72" w:rsidRPr="004478F5" w:rsidRDefault="007E615B" w:rsidP="004478F5">
      <w:pPr>
        <w:jc w:val="both"/>
      </w:pPr>
      <w:r w:rsidRPr="004478F5">
        <w:t xml:space="preserve">      4</w:t>
      </w:r>
      <w:r w:rsidR="00547412" w:rsidRPr="004478F5">
        <w:t xml:space="preserve">. Контроль за </w:t>
      </w:r>
      <w:r w:rsidR="00632A72" w:rsidRPr="004478F5">
        <w:t xml:space="preserve">исполнением настоящего постановления возложить на заместителя главы администрации </w:t>
      </w:r>
      <w:r w:rsidR="004478F5" w:rsidRPr="004478F5">
        <w:t xml:space="preserve">округа </w:t>
      </w:r>
      <w:proofErr w:type="spellStart"/>
      <w:r w:rsidR="004478F5" w:rsidRPr="004478F5">
        <w:t>Д.Н.Цапина</w:t>
      </w:r>
      <w:proofErr w:type="spellEnd"/>
      <w:r w:rsidR="00632A72" w:rsidRPr="004478F5">
        <w:t xml:space="preserve"> </w:t>
      </w:r>
    </w:p>
    <w:p w:rsidR="00632A72" w:rsidRPr="004478F5" w:rsidRDefault="00632A72" w:rsidP="004478F5">
      <w:pPr>
        <w:ind w:firstLine="567"/>
        <w:jc w:val="both"/>
      </w:pPr>
    </w:p>
    <w:p w:rsidR="00632A72" w:rsidRPr="004478F5" w:rsidRDefault="00632A72" w:rsidP="004478F5">
      <w:pPr>
        <w:ind w:firstLine="567"/>
        <w:jc w:val="both"/>
      </w:pPr>
    </w:p>
    <w:p w:rsidR="00632A72" w:rsidRPr="004478F5" w:rsidRDefault="00632A72" w:rsidP="004478F5">
      <w:pPr>
        <w:ind w:firstLine="567"/>
        <w:jc w:val="both"/>
      </w:pPr>
      <w:r w:rsidRPr="004478F5">
        <w:t xml:space="preserve">Глава местного самоуправления округа </w:t>
      </w:r>
      <w:r w:rsidRPr="004478F5">
        <w:tab/>
      </w:r>
      <w:r w:rsidRPr="004478F5">
        <w:tab/>
      </w:r>
      <w:r w:rsidRPr="004478F5">
        <w:tab/>
      </w:r>
      <w:r w:rsidRPr="004478F5">
        <w:tab/>
      </w:r>
      <w:r w:rsidRPr="004478F5">
        <w:tab/>
      </w:r>
      <w:r w:rsidRPr="004478F5">
        <w:tab/>
        <w:t>С.А. Бочканов</w:t>
      </w:r>
    </w:p>
    <w:p w:rsidR="00B74107" w:rsidRPr="004478F5" w:rsidRDefault="00B74107" w:rsidP="004478F5"/>
    <w:sectPr w:rsidR="00B74107" w:rsidRPr="004478F5" w:rsidSect="0067655D">
      <w:pgSz w:w="11906" w:h="16838"/>
      <w:pgMar w:top="567" w:right="849" w:bottom="567" w:left="85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61"/>
    <w:rsid w:val="0020350A"/>
    <w:rsid w:val="004478F5"/>
    <w:rsid w:val="00547412"/>
    <w:rsid w:val="0055384D"/>
    <w:rsid w:val="00632A72"/>
    <w:rsid w:val="00642441"/>
    <w:rsid w:val="006A4DDA"/>
    <w:rsid w:val="007E615B"/>
    <w:rsid w:val="00861C99"/>
    <w:rsid w:val="008A0655"/>
    <w:rsid w:val="00B74107"/>
    <w:rsid w:val="00B91578"/>
    <w:rsid w:val="00C70F0D"/>
    <w:rsid w:val="00D21A61"/>
    <w:rsid w:val="00DE6C5C"/>
    <w:rsid w:val="00DF7071"/>
    <w:rsid w:val="00ED3261"/>
    <w:rsid w:val="00F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632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32A7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Normal (Web)"/>
    <w:basedOn w:val="a"/>
    <w:rsid w:val="00632A72"/>
    <w:pPr>
      <w:suppressAutoHyphens w:val="0"/>
      <w:spacing w:before="280" w:after="280"/>
    </w:pPr>
  </w:style>
  <w:style w:type="paragraph" w:customStyle="1" w:styleId="ConsPlusNormal">
    <w:name w:val="ConsPlusNormal"/>
    <w:link w:val="ConsPlusNormal0"/>
    <w:rsid w:val="006A4DDA"/>
    <w:pPr>
      <w:suppressAutoHyphens/>
      <w:spacing w:after="0" w:line="100" w:lineRule="atLeast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6A4DDA"/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a4">
    <w:name w:val="Знак"/>
    <w:basedOn w:val="a0"/>
    <w:rsid w:val="006A4DDA"/>
    <w:rPr>
      <w:rFonts w:cs="Times New Roman"/>
      <w:sz w:val="16"/>
      <w:szCs w:val="16"/>
      <w:lang w:val="ru-RU"/>
    </w:rPr>
  </w:style>
  <w:style w:type="character" w:customStyle="1" w:styleId="blk">
    <w:name w:val="blk"/>
    <w:basedOn w:val="a0"/>
    <w:rsid w:val="006A4DDA"/>
  </w:style>
  <w:style w:type="paragraph" w:styleId="a5">
    <w:name w:val="Balloon Text"/>
    <w:basedOn w:val="a"/>
    <w:link w:val="a6"/>
    <w:uiPriority w:val="99"/>
    <w:semiHidden/>
    <w:unhideWhenUsed/>
    <w:rsid w:val="005538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84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632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32A7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Normal (Web)"/>
    <w:basedOn w:val="a"/>
    <w:rsid w:val="00632A72"/>
    <w:pPr>
      <w:suppressAutoHyphens w:val="0"/>
      <w:spacing w:before="280" w:after="280"/>
    </w:pPr>
  </w:style>
  <w:style w:type="paragraph" w:customStyle="1" w:styleId="ConsPlusNormal">
    <w:name w:val="ConsPlusNormal"/>
    <w:link w:val="ConsPlusNormal0"/>
    <w:rsid w:val="006A4DDA"/>
    <w:pPr>
      <w:suppressAutoHyphens/>
      <w:spacing w:after="0" w:line="100" w:lineRule="atLeast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6A4DDA"/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a4">
    <w:name w:val="Знак"/>
    <w:basedOn w:val="a0"/>
    <w:rsid w:val="006A4DDA"/>
    <w:rPr>
      <w:rFonts w:cs="Times New Roman"/>
      <w:sz w:val="16"/>
      <w:szCs w:val="16"/>
      <w:lang w:val="ru-RU"/>
    </w:rPr>
  </w:style>
  <w:style w:type="character" w:customStyle="1" w:styleId="blk">
    <w:name w:val="blk"/>
    <w:basedOn w:val="a0"/>
    <w:rsid w:val="006A4DDA"/>
  </w:style>
  <w:style w:type="paragraph" w:styleId="a5">
    <w:name w:val="Balloon Text"/>
    <w:basedOn w:val="a"/>
    <w:link w:val="a6"/>
    <w:uiPriority w:val="99"/>
    <w:semiHidden/>
    <w:unhideWhenUsed/>
    <w:rsid w:val="005538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84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Золотых ОВ</cp:lastModifiedBy>
  <cp:revision>11</cp:revision>
  <cp:lastPrinted>2026-02-20T09:29:00Z</cp:lastPrinted>
  <dcterms:created xsi:type="dcterms:W3CDTF">2026-02-17T07:45:00Z</dcterms:created>
  <dcterms:modified xsi:type="dcterms:W3CDTF">2026-02-20T09:29:00Z</dcterms:modified>
</cp:coreProperties>
</file>