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7B" w:rsidRDefault="00E76C7B" w:rsidP="00E76C7B">
      <w:pPr>
        <w:spacing w:after="0" w:line="240" w:lineRule="auto"/>
        <w:ind w:left="360"/>
        <w:jc w:val="center"/>
      </w:pPr>
    </w:p>
    <w:p w:rsidR="00D71B46" w:rsidRPr="00D71B46" w:rsidRDefault="00D71B46" w:rsidP="00D71B46">
      <w:pPr>
        <w:keepNext/>
        <w:tabs>
          <w:tab w:val="left" w:pos="708"/>
        </w:tabs>
        <w:suppressAutoHyphens/>
        <w:spacing w:after="0" w:line="10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1B46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1510DB57" wp14:editId="42BB5E70">
            <wp:extent cx="59436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B46" w:rsidRPr="00D71B46" w:rsidRDefault="00D71B46" w:rsidP="00D71B46">
      <w:pPr>
        <w:suppressAutoHyphens/>
        <w:autoSpaceDE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71B46" w:rsidRPr="00D71B46" w:rsidRDefault="00D71B46" w:rsidP="00D71B46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СОВЕТ ДЕПУТАТОВ </w:t>
      </w:r>
    </w:p>
    <w:p w:rsidR="00D71B46" w:rsidRPr="00D71B46" w:rsidRDefault="00D71B46" w:rsidP="00D71B46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>ПИЛЬНИНСКОГО МУНИЦИПАЛЬНОГО ОКРУГА НИЖЕГОРОДСКОЙ ОБЛАСТИ</w:t>
      </w:r>
    </w:p>
    <w:p w:rsidR="00D71B46" w:rsidRPr="00D71B46" w:rsidRDefault="00D71B46" w:rsidP="00D71B46">
      <w:pPr>
        <w:suppressAutoHyphens/>
        <w:autoSpaceDE w:val="0"/>
        <w:spacing w:after="0" w:line="100" w:lineRule="atLeast"/>
        <w:jc w:val="center"/>
        <w:rPr>
          <w:rFonts w:ascii="Times New Roman" w:eastAsia="Arial" w:hAnsi="Times New Roman" w:cs="Times New Roman"/>
          <w:sz w:val="40"/>
          <w:szCs w:val="40"/>
          <w:lang w:eastAsia="ar-SA"/>
        </w:rPr>
      </w:pPr>
      <w:r w:rsidRPr="00D71B46">
        <w:rPr>
          <w:rFonts w:ascii="Times New Roman" w:eastAsia="Arial" w:hAnsi="Times New Roman" w:cs="Times New Roman"/>
          <w:b/>
          <w:bCs/>
          <w:sz w:val="40"/>
          <w:szCs w:val="40"/>
          <w:lang w:eastAsia="ar-SA"/>
        </w:rPr>
        <w:t>РЕШЕНИЕ</w:t>
      </w:r>
    </w:p>
    <w:p w:rsidR="00D71B46" w:rsidRPr="00D71B46" w:rsidRDefault="00D71B46" w:rsidP="00D71B46">
      <w:pPr>
        <w:suppressAutoHyphens/>
        <w:autoSpaceDE w:val="0"/>
        <w:spacing w:after="0" w:line="100" w:lineRule="atLeast"/>
        <w:ind w:firstLine="567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D71B46" w:rsidRPr="00D71B46" w:rsidRDefault="00D71B46" w:rsidP="00D71B46">
      <w:pPr>
        <w:suppressAutoHyphens/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От  </w:t>
      </w:r>
      <w:r w:rsidR="009A0D3A">
        <w:rPr>
          <w:rFonts w:ascii="Times New Roman" w:eastAsia="Arial" w:hAnsi="Times New Roman" w:cs="Times New Roman"/>
          <w:sz w:val="24"/>
          <w:szCs w:val="24"/>
          <w:lang w:eastAsia="ar-SA"/>
        </w:rPr>
        <w:t>24</w:t>
      </w:r>
      <w:proofErr w:type="gramEnd"/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апреля 2026 г.</w:t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71B46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№</w:t>
      </w:r>
      <w:r w:rsidR="009A0D3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22</w:t>
      </w:r>
    </w:p>
    <w:p w:rsidR="00E76C7B" w:rsidRDefault="00E76C7B" w:rsidP="00E76C7B">
      <w:pPr>
        <w:spacing w:after="0" w:line="240" w:lineRule="auto"/>
        <w:ind w:left="360"/>
        <w:jc w:val="center"/>
      </w:pPr>
    </w:p>
    <w:p w:rsidR="00E76C7B" w:rsidRDefault="00E76C7B" w:rsidP="00E76C7B">
      <w:pPr>
        <w:spacing w:after="0" w:line="240" w:lineRule="auto"/>
        <w:ind w:left="360"/>
        <w:jc w:val="center"/>
      </w:pPr>
    </w:p>
    <w:p w:rsidR="00D71B46" w:rsidRPr="00D71B46" w:rsidRDefault="00D71B46" w:rsidP="00D71B46">
      <w:pPr>
        <w:spacing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A63E0" w:rsidRDefault="00E76C7B" w:rsidP="003A63E0">
      <w:pPr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>О</w:t>
      </w:r>
      <w:r w:rsidR="00D71B46" w:rsidRPr="00D71B4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71B46" w:rsidRPr="00D71B46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eastAsia="hi-IN" w:bidi="hi-IN"/>
        </w:rPr>
        <w:t xml:space="preserve">результатах </w:t>
      </w:r>
      <w:r w:rsidR="00D71B46"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деятельности </w:t>
      </w:r>
      <w:proofErr w:type="gramStart"/>
      <w:r w:rsidR="00D71B46"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администрации </w:t>
      </w:r>
      <w:r w:rsidR="003A63E0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П</w:t>
      </w:r>
      <w:r w:rsidR="00D71B46"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>ильнинского</w:t>
      </w:r>
      <w:proofErr w:type="gramEnd"/>
      <w:r w:rsidR="00D71B46"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муниципального округа Нижегородской области  </w:t>
      </w:r>
    </w:p>
    <w:p w:rsidR="00D71B46" w:rsidRDefault="00D71B46" w:rsidP="00D71B4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>в 202</w:t>
      </w:r>
      <w:r w:rsidRPr="00D71B46">
        <w:rPr>
          <w:rFonts w:ascii="Times New Roman" w:eastAsia="Calibri" w:hAnsi="Times New Roman" w:cs="Times New Roman"/>
          <w:b/>
          <w:caps/>
          <w:sz w:val="24"/>
          <w:szCs w:val="24"/>
        </w:rPr>
        <w:t>5</w:t>
      </w:r>
      <w:r w:rsidRPr="00E76C7B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году</w:t>
      </w:r>
    </w:p>
    <w:p w:rsidR="003A63E0" w:rsidRDefault="003A63E0" w:rsidP="00D71B4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A63E0" w:rsidRPr="003A63E0" w:rsidRDefault="003A63E0" w:rsidP="00D71B4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3A63E0" w:rsidRPr="00D71B46" w:rsidRDefault="003A63E0" w:rsidP="003A63E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63E0">
        <w:rPr>
          <w:rFonts w:ascii="Times New Roman" w:eastAsia="Calibri" w:hAnsi="Times New Roman" w:cs="Times New Roman"/>
          <w:sz w:val="24"/>
          <w:szCs w:val="24"/>
        </w:rPr>
        <w:t>В соответствии со статьей 16 Федерального Закона</w:t>
      </w:r>
      <w:r w:rsidRPr="003A63E0">
        <w:rPr>
          <w:rFonts w:ascii="Times New Roman" w:hAnsi="Times New Roman" w:cs="Times New Roman"/>
          <w:sz w:val="24"/>
          <w:szCs w:val="24"/>
        </w:rPr>
        <w:t xml:space="preserve"> </w:t>
      </w:r>
      <w:r w:rsidRPr="00D71B46">
        <w:rPr>
          <w:rFonts w:ascii="Times New Roman" w:hAnsi="Times New Roman" w:cs="Times New Roman"/>
          <w:sz w:val="24"/>
          <w:szCs w:val="24"/>
        </w:rPr>
        <w:t>от 20 марта 2025 года N 33-ФЗ "Об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 xml:space="preserve">» и статьей </w:t>
      </w:r>
      <w:proofErr w:type="gramStart"/>
      <w:r>
        <w:rPr>
          <w:rFonts w:ascii="Times New Roman" w:hAnsi="Times New Roman" w:cs="Times New Roman"/>
          <w:sz w:val="24"/>
          <w:szCs w:val="24"/>
        </w:rPr>
        <w:t>27  Устава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 округа Нижегородской области, ознакомившись с отчетом о результатах деятельности администрации</w:t>
      </w:r>
      <w:r w:rsidRPr="003A6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6C7B">
        <w:rPr>
          <w:rFonts w:ascii="Times New Roman" w:eastAsia="Calibri" w:hAnsi="Times New Roman" w:cs="Times New Roman"/>
          <w:sz w:val="24"/>
          <w:szCs w:val="24"/>
        </w:rPr>
        <w:t>Пильнинского</w:t>
      </w:r>
      <w:proofErr w:type="spellEnd"/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муни</w:t>
      </w:r>
      <w:bookmarkStart w:id="0" w:name="_GoBack"/>
      <w:bookmarkEnd w:id="0"/>
      <w:r w:rsidRPr="00E76C7B">
        <w:rPr>
          <w:rFonts w:ascii="Times New Roman" w:eastAsia="Calibri" w:hAnsi="Times New Roman" w:cs="Times New Roman"/>
          <w:sz w:val="24"/>
          <w:szCs w:val="24"/>
        </w:rPr>
        <w:t>ципального округа Нижегородской области  в 202</w:t>
      </w:r>
      <w:r w:rsidRPr="00D71B46">
        <w:rPr>
          <w:rFonts w:ascii="Times New Roman" w:eastAsia="Calibri" w:hAnsi="Times New Roman" w:cs="Times New Roman"/>
          <w:sz w:val="24"/>
          <w:szCs w:val="24"/>
        </w:rPr>
        <w:t>5</w:t>
      </w:r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</w:p>
    <w:p w:rsidR="003A63E0" w:rsidRPr="00E76C7B" w:rsidRDefault="003A63E0" w:rsidP="003A63E0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7B">
        <w:rPr>
          <w:rFonts w:ascii="Times New Roman" w:eastAsia="Calibri" w:hAnsi="Times New Roman" w:cs="Times New Roman"/>
          <w:sz w:val="24"/>
          <w:szCs w:val="24"/>
        </w:rPr>
        <w:t>Совет депутатов решил :</w:t>
      </w:r>
    </w:p>
    <w:p w:rsidR="003A63E0" w:rsidRPr="00E76C7B" w:rsidRDefault="003A63E0" w:rsidP="003A63E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1. Отчет </w:t>
      </w:r>
      <w:r w:rsidRPr="00D71B46">
        <w:rPr>
          <w:rFonts w:ascii="Times New Roman" w:eastAsia="Arial" w:hAnsi="Times New Roman" w:cs="Times New Roman"/>
          <w:kern w:val="2"/>
          <w:sz w:val="24"/>
          <w:szCs w:val="24"/>
          <w:lang w:eastAsia="hi-IN" w:bidi="hi-IN"/>
        </w:rPr>
        <w:t xml:space="preserve">о результатах </w:t>
      </w:r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деятельности администрации </w:t>
      </w:r>
      <w:proofErr w:type="spellStart"/>
      <w:r w:rsidRPr="00E76C7B">
        <w:rPr>
          <w:rFonts w:ascii="Times New Roman" w:eastAsia="Calibri" w:hAnsi="Times New Roman" w:cs="Times New Roman"/>
          <w:sz w:val="24"/>
          <w:szCs w:val="24"/>
        </w:rPr>
        <w:t>Пильнинского</w:t>
      </w:r>
      <w:proofErr w:type="spellEnd"/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 Нижегородской </w:t>
      </w:r>
      <w:proofErr w:type="gramStart"/>
      <w:r w:rsidRPr="00E76C7B">
        <w:rPr>
          <w:rFonts w:ascii="Times New Roman" w:eastAsia="Calibri" w:hAnsi="Times New Roman" w:cs="Times New Roman"/>
          <w:sz w:val="24"/>
          <w:szCs w:val="24"/>
        </w:rPr>
        <w:t>области  в</w:t>
      </w:r>
      <w:proofErr w:type="gramEnd"/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Pr="00D71B46">
        <w:rPr>
          <w:rFonts w:ascii="Times New Roman" w:eastAsia="Calibri" w:hAnsi="Times New Roman" w:cs="Times New Roman"/>
          <w:sz w:val="24"/>
          <w:szCs w:val="24"/>
        </w:rPr>
        <w:t>5</w:t>
      </w:r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D71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6C7B">
        <w:rPr>
          <w:rFonts w:ascii="Times New Roman" w:eastAsia="Calibri" w:hAnsi="Times New Roman" w:cs="Times New Roman"/>
          <w:sz w:val="24"/>
          <w:szCs w:val="24"/>
        </w:rPr>
        <w:t>принять к сведению.</w:t>
      </w:r>
    </w:p>
    <w:p w:rsidR="00E76C7B" w:rsidRPr="003A63E0" w:rsidRDefault="00E76C7B" w:rsidP="003A63E0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C7B" w:rsidRPr="00E76C7B" w:rsidRDefault="00E76C7B" w:rsidP="00E76C7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C7B" w:rsidRPr="00E76C7B" w:rsidRDefault="00E76C7B" w:rsidP="00E76C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:rsidR="00E76C7B" w:rsidRPr="00E76C7B" w:rsidRDefault="00E76C7B" w:rsidP="00E76C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6C7B">
        <w:rPr>
          <w:rFonts w:ascii="Times New Roman" w:eastAsia="Calibri" w:hAnsi="Times New Roman" w:cs="Times New Roman"/>
          <w:sz w:val="24"/>
          <w:szCs w:val="24"/>
        </w:rPr>
        <w:t>Пильнинского</w:t>
      </w:r>
      <w:proofErr w:type="spellEnd"/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E76C7B" w:rsidRPr="00E76C7B" w:rsidRDefault="00E76C7B" w:rsidP="00E76C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7B"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области                                                                               А.В. Шпеньков</w:t>
      </w:r>
    </w:p>
    <w:p w:rsidR="00E76C7B" w:rsidRPr="00E76C7B" w:rsidRDefault="00E76C7B" w:rsidP="00E76C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C7B" w:rsidRDefault="00E76C7B" w:rsidP="00E76C7B">
      <w:pPr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6C7B" w:rsidRPr="00327EEB" w:rsidRDefault="00E76C7B" w:rsidP="00E76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CD" w:rsidRDefault="003677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D3A" w:rsidRDefault="009A0D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D3A" w:rsidRDefault="009A0D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3E0" w:rsidRDefault="003A63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3E0" w:rsidRDefault="003A63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3E0" w:rsidRDefault="003A63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D3A" w:rsidRDefault="009A0D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D3A" w:rsidRPr="009A0D3A" w:rsidRDefault="009A0D3A" w:rsidP="009A0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участники заседания!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имеет свои особенности в постановке задач, определении приоритетов деятельности органов местного самоуправления. Не стал исключением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и  2025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который   был объявлен Президентом России Владимиром Владимировичем Путиным -  Годом защитника Отечества  и 80-летия Великой Победы</w:t>
      </w: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и посвящен  подвигу ветеранов Великой Отечественной войны, а также сегодняшним героям - участникам специальной военной операции.</w:t>
      </w:r>
    </w:p>
    <w:p w:rsidR="009A0D3A" w:rsidRPr="009A0D3A" w:rsidRDefault="009A0D3A" w:rsidP="009A0D3A">
      <w:pPr>
        <w:shd w:val="clear" w:color="auto" w:fill="FFFFFF"/>
        <w:spacing w:after="300" w:line="240" w:lineRule="auto"/>
        <w:ind w:left="-567" w:right="-1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Этот год стал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 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ушедшем году по всему округу прошли митинги во всех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территорииальных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отделах, и </w:t>
      </w: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митинг Неугасима память поколений на Мемориале славы в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р.п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Пилна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акция </w:t>
      </w: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"Свеча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памяти"и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праздничный автопробег "Спасибо деду за Победу".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Пильнинцы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вся страна плели маскировочные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сети,  собирали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отправляли гуманитарные грузы, поздравляли ветеранов, детей войны с 80-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летием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 Победы, заботились о семьях защитников Отечества, участвовали в изготовлении и установке памятников воинам Великой Отечественной войны.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исполнение письма министерства внутренней региональной и муниципальной политики Нижегородской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 на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базе  МБУК «</w:t>
      </w:r>
      <w:proofErr w:type="spell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КДЦ» образован пункт сбора гуманитарных грузов для СВО.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25 февраля администрацией округа при содействии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отделения общества инвалидов на базе культурно-досугового центра был организован благотворительный концерт «СВОИХ НЕ БРОСАЕМ!», 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собранные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 приобретены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дизельные и бензиновые генераторы разной мощности,  автомобильные радиостанции, рации,  автономные обогреватели, пиломатериалы,  медикаменты, аптечки,  и многое другое. Всё вышеперечисленное доставлено нашим бойцам с гуманитарным конвоем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Центральной библиотекой проведена огромная работа по созданию КНИГИ памяти, подготовлен альбом «ГЕРОИ СПЕЦОПЕРАЦИИ», посвященный погибшим на СВО землякам-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пильнинцам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Вся работа администрации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муниципального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округа  строилась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в соответствии с теми приоритетами, которые определены стратегией президента Российской Федерации, задачами, которые ставит губернатор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Нижегорордской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области и, конечно, в соответствии с теми вопросами и обращениями, решения которых прежде всего необходимо для жителей нашего округа.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  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 выполнения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обязательств и обеспечения социально-экономической стабильности в округе является бюджет.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Бюджет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2025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исполнен по доходам на 97,6 % к уточненным бюджетным назначениям.  Поступило 1 323,8 млн. со снижением на 63,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.руб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уровню 2024 года. 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Налоговых и неналоговых доходов в бюджет округа получено 500,4 млн. руб.  на 52,2 млн. руб. выше уровня 2024 года. 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Удельный вес налоговых и неналоговых доходов в общем объеме бюджета составил 37,8 %. Безвозмездные поступления из других уровней бюджета получены в сумме 823,4 млн.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дотации  246,8   млн. руб., что на 50,8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выше уровня 2024 года.    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расходам бюджет округа исполнен на 94,0 % в сумме 1 302,7 млн. руб.  с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профицитом  21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 млн. руб. 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расходов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и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 проходило  в программном формате на основе 19 муниципальных программ. Расходы по отраслям социальной сферы составили 809,8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.,это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62,2 % всех расходов бюджета. 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сложной экономической ситуацией работа администрации округа   направлена на поиск резерва пополнения доходной части бюджета, повышения эффективности расходования бюджетных средств</w:t>
      </w: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Одним из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инструментов пополнения доходной части бюджета округа является </w:t>
      </w: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землей и имуществом.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ведется на постоянной основе.</w:t>
      </w:r>
    </w:p>
    <w:p w:rsidR="009A0D3A" w:rsidRPr="009A0D3A" w:rsidRDefault="009A0D3A" w:rsidP="009A0D3A">
      <w:pPr>
        <w:spacing w:after="0" w:afterAutospacing="1" w:line="36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аренды земельных участков в ушедшем году составили 3 960,6 тыс. руб., от платы за размещение объектов без предоставления участков – 321,06 тыс. руб., от продажи земельных участков 2 916,78 тыс. руб., от платы за увеличение площади земельных участков – 528,33 тыс. руб., плата за публичный сервитут 0,395 тыс. руб.  </w:t>
      </w:r>
    </w:p>
    <w:p w:rsidR="009A0D3A" w:rsidRPr="009A0D3A" w:rsidRDefault="009A0D3A" w:rsidP="009A0D3A">
      <w:pPr>
        <w:spacing w:after="0" w:afterAutospacing="1" w:line="36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01января 2026 года действовало 29 договоров аренды нежилых помещений и муниципального имущества. Общая площадь по договорам аренды нежилых помещений муниципальной собственности 986,9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 бюджета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аренды муниципального нежилого фонда составил 1 481,81 тыс. руб. </w:t>
      </w:r>
    </w:p>
    <w:p w:rsidR="009A0D3A" w:rsidRPr="009A0D3A" w:rsidRDefault="009A0D3A" w:rsidP="009A0D3A">
      <w:pPr>
        <w:spacing w:before="120"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рычаг пополнения бюджета-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контроль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налогами и серой заработной платой. В 2025 году проведено 8 комиссий по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снижению  недоимки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налогам. 59 налогоплательщиков получили уведомления о необходимости погашения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погашенной задолженности 5 124,78 тыс. руб., в том числе 4 002,68 тыс. руб. погашено перед консолидированным бюджетом округа.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6 заседаний комиссии по вопросам обеспечения законности и эффективности предпринимательской деятельности, снижения неформальной занятости и легализации «серой» заработной платы. Рассмотрены материалы по 48 субъектам малого и среднего бизнеса, в отношении которых были вынесены решения. </w:t>
      </w:r>
    </w:p>
    <w:p w:rsidR="009A0D3A" w:rsidRPr="009A0D3A" w:rsidRDefault="009A0D3A" w:rsidP="009A0D3A">
      <w:pPr>
        <w:autoSpaceDE w:val="0"/>
        <w:autoSpaceDN w:val="0"/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ежедекадный мониторинг по снижению неформальной занятости на территории округа.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Современная экономика представляет собой сложный механизм, и в нашей глубинке, где нет огромных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  особенное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 имеет малое предпринимательство. Малый бизнес создает рабочие места, стимулирует конкуренцию и способствует повышению качества товаров и услуг. Поддержка предпринимательства является одной из важнейших составляющих стратегии развития современной экономики.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год зарегистрировано и осуществляют свою деятельность 373 субъекта малого и среднего предпринимательства (в 2024 году – 343 субъекта МСП), в том числе 3 средних, 66 малых предприятий, 304 индивидуальных предпринимателей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-сельское хозяйство- 59;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-промышленность- 7;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-строительство-23;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торговля- 141;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-прочие виды деятельности –143.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работающих в малых, средних предприятиях и у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ИП  осталась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на уроне 2024 года и составила 1762 человека.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-сельское хозяйство-997 человек;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-промышленность-258 человек;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-строительство-270 человек;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-торговля -177 человека;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-прочие виды деятельности- 60 человек.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01 января 2026 года - 1 112 человек.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отгруженной продукции собственного производства субъектами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 производства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составил 3 704,5 млн. руб.  Это 97,2% к уровню 2024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 Доля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отгруженной продукции в общей отгрузке по полному кругу организаций    - 71,9 %.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-сельское хозяйство-2155,7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-строительство -1205,8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-промышленность-169,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 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инвестиций вложенных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 малого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бизнеса  составил 582,2 млн. руб.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-сельское хозяйство-518 млн. руб.;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-строительство-3,3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-промышленность-0,9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-оптовая и розничная торговля-1,8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малым 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 формам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предпринимательства относятся и все наши сельхозпредприятия.   14 СПК из них 2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Общества с ограниченной ответственность и 27 Крестьянских фермерских хозяйств, где работает около 1000 чел.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Также территории района имеются  агрохолдинга, в состав которого входит ООО а/ф «Нижегородская».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аграриев легкого года не бывает и каждый год сложен по- своему.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 не менее, в 2025 году получен рекордный урожай зерновых,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 составил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104 400 т. зерна в бункерном весе при урожайности 34,6 ц./га.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четвёртый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показатель по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валовке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области.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Заготовлено 90 736 т сенажа. или 129 % к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плану,  103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831 т силоса. или 130 % к плану. В общей сложности вместе с грубыми кормами это 52 349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к.ед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 2- х, а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унекоторых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 и 3-х годичный запас кормов. Выращено и реализовано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 60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т. сахарной свеклы.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зерну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наибольшая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валовка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сельхозорганизаций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:</w:t>
      </w:r>
    </w:p>
    <w:p w:rsidR="009A0D3A" w:rsidRPr="009A0D3A" w:rsidRDefault="009A0D3A" w:rsidP="009A0D3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СПК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Деяновский</w:t>
      </w:r>
      <w:proofErr w:type="spellEnd"/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» « Новый путь»</w:t>
      </w:r>
    </w:p>
    <w:p w:rsidR="009A0D3A" w:rsidRPr="009A0D3A" w:rsidRDefault="009A0D3A" w:rsidP="009A0D3A">
      <w:pPr>
        <w:spacing w:after="0" w:line="240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СПК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- 14 571 т.,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Майданский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»- 7 180 т. СПК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 Новый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путь» - 6  441 т.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же и наиболее высокая урожайность.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СПК  «</w:t>
      </w:r>
      <w:proofErr w:type="spellStart"/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- 48,4 ц./га. , 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Майданский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» - 40,5 ц. « Новый путь» - 37,8 ц./га. 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Урожайность выше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среднерайонной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СПК «Восход», «Заря», «Каменский».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Животноводством на территории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 занимались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сельскохозяйственных организаций и 16 крестьянских (фермерских) хозяйств. В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  год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животноводства сложился  удачно, приостановилось  снижение поголовья, и на 01января 2026 г. составило  17 841 гол. КРС и 8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802  коровы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это самый высокий  показатель по  количеству поголовья в области.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Не смотря на все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 было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надоено 50 177 т. молока , с плюсом в +392т. к уровню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п.г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второй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по области 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Надой на корову - 5 721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кг..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Лидерами по производству молока среди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СПК  по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прежнему является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СПК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Деяновский</w:t>
      </w:r>
      <w:proofErr w:type="spellEnd"/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«Оборона страны»  «Восход».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крестьянско-фермерских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хозяйств:КФХ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Х.Х.» КФХ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Сабитов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 т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СПК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-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6723  (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- 118) т. молока.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СПК «Оборона страны» - 4914 (+ 123) т.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СПК «Восход» -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3641  (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15)т.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Среди крестьянско-фермерских хозяйств: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КФХ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Камалетдинов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Х.Х.» - 4697 (+7) т.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КФХ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Сабитов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Р.С. – 2618 (+200) т.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Наибольший вклад в производство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молока  вносят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следующие предприятия: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СПК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- 13,4% от валового сбора молока;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СПК «Оборона страны» - 9,8 %;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КФХ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Камалетдинов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Х.Х. – 9,4 %;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 продуктивности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Самый высокий надой на корову среди сельхоз организаций за 2025 год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составил :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СПК «Восход» - 7283 (-31) кг.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СПК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- 6792 (-120) кг.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СПК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 Им.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Кирова» - 6258 (+717)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КФХ: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КФХ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Камалетдинов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Х.Х» - 8603(+13) кг.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КФХ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Сабитов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Р.С. – 5413 (+299) кг.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показатель характеризующий состояние молочного животноводства-это продуктивность. Рост по данному показателю к уровню прошлого года показали: СПК «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Медяна»и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спк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«Заря».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рейтинге Нижегородской области за 2025 год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занимет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место   - по численности поголовья коров 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место.-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молока 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– 5 место – по производству зерна.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ряде  хозяйств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проведена реконструкция животноводческих помещений . Вновь строящиеся животноводческие объекты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 для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беспривязной системы содержания скота: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СПК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в КФХ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Сабитов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Р.С.» - продолжается строительство двора для беспривязного содержания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на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300 гол). 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КФХ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Камалетдинов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Х.Х.» -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ведётся  строительство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дойного двора беспривязного содержания на 420 гол.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поручению президента В.В. Путина утверждена стратегия развития агропромышленного комплекса до 2030 года, поставлена задача создать условия для расширения отрасли по всем направлениям и этому способствуют меры государственной поддержки.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Продолжают действовать такие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меры  государственной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поддержки как: 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реализованное молоко, зерно, мясо; 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на приобретение элитных семян; 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семени элитных пород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скота ;</w:t>
      </w:r>
      <w:proofErr w:type="gramEnd"/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оборудование и техника;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прошедший год из областного и федерального бюджетов сельхозпредприятиями получено 114 млн. 978 тыс.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субсидий.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на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12% меньше предыдущего года.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выручка за 2025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получена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выручка в размере 2 млрд.167 млн.243 тыс. (1 млрд. 925 млн. 833 тыс.) руб. 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 составила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386 млн. 768 тыс. руб. это  на 21 % выше уровня прошлого года.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средняя заработная плата по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сельхозорганизациям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56 тыс. руб. (44870 руб.) - 12 % роста к прошлому году.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смотря на рост цен на технику и оборудование, недоступность кредитов, сельхозпроизводителями продолжается обновление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-тракторного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парка,  за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было    приобретено 80   ед. самоходной, прицепной , навесной техники и оборудования, на общую сумму 204 млн. руб.</w:t>
      </w:r>
    </w:p>
    <w:p w:rsidR="009A0D3A" w:rsidRPr="009A0D3A" w:rsidRDefault="009A0D3A" w:rsidP="009A0D3A">
      <w:pPr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Тенденция эта продолжается, не смотря на ценовую политику, т.е. процесс модернизации производства идёт. Это помогает повысить эффективность производства и увеличивать производительность труда.</w:t>
      </w:r>
    </w:p>
    <w:p w:rsidR="009A0D3A" w:rsidRPr="009A0D3A" w:rsidRDefault="009A0D3A" w:rsidP="009A0D3A">
      <w:pPr>
        <w:spacing w:after="0" w:line="36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36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 задача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создание эффективного производства. От этого зависит доходность сельскохозяйственных организаций 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КФХ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материально-техническое обеспечение, заработная плата специалистов и рабочих отрасли, развитие социальной сферы предприятий и муниципального округа в целом. 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 становится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не смотря на меры государственной поддержки молодых работников и специалистов. С 2025 года введена новая форма улучшения жилищных условий, наряду с действующими программами. Молодой работник может получить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 двух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руб. на приобретение или строительство жилья. Этой программой уже воспользовалась молодая семья из СПК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округе начала работать госпрограмма «Кадры в АПК». ЕЕ цель заинтересовать школьников тематикой сельхозпроизводства, привлечь внимание к деятельности АПК, создавая на базе школ совместно с сельхозпредприятиями агротехнологические классы. Ведётся работа по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агроклассов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6 школ 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в целях ранней профориентации в округе, развивается сеть профильных предпрофессиональных классов.  Т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 классы функционировали в 5 школах.  Почти 90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  получили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рабочую профессию во время обучения в школе (оператор  электронно-вычислительных и вычислительных машин, секретарь-администратор, младший воспитатель,  фотограф,  вожатый ,  санитар ветеринарный, слесарь-ремонтник).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образования района является базовой платформой для развития и становления личности каждого ребенка. Она формирует не только знания и умения, но и мировоззрение и ценностные ориентации.</w:t>
      </w:r>
    </w:p>
    <w:p w:rsidR="009A0D3A" w:rsidRPr="009A0D3A" w:rsidRDefault="009A0D3A" w:rsidP="009A0D3A">
      <w:pPr>
        <w:spacing w:after="0" w:line="240" w:lineRule="auto"/>
        <w:ind w:left="-567"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FFFFFF" w:themeColor="background1" w:fill="FFFFFF" w:themeFill="background1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Муниципальное отделение Российского движения детей и молодежи «Движение Первых» становится центром притяжения для школьников, где каждый может найти занятие по душе и раскрыть свой потенциал. Учащиеся, объединенные в 11 первичных отделений, активно участвуют в жизни Движения - волонтерских акциях, спортивных мероприятиях, творческих проектах.</w:t>
      </w:r>
    </w:p>
    <w:p w:rsidR="009A0D3A" w:rsidRPr="009A0D3A" w:rsidRDefault="009A0D3A" w:rsidP="009A0D3A">
      <w:pPr>
        <w:shd w:val="clear" w:color="FFFFFF" w:themeColor="background1" w:fill="FFFFFF" w:themeFill="background1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Советники по воспитанию и наставники играют ключевую роль в этом процессе, </w:t>
      </w:r>
    </w:p>
    <w:p w:rsidR="009A0D3A" w:rsidRPr="009A0D3A" w:rsidRDefault="009A0D3A" w:rsidP="009A0D3A">
      <w:pPr>
        <w:shd w:val="clear" w:color="FFFFFF" w:themeColor="background1" w:fill="FFFFFF" w:themeFill="background1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Конечно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же,  главным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основным показателем успешности образования являются  достижения обучающихся.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По итогам 2024-25 учебного года аттестат об основном общем образовании получили 163 девятиклассника, из них 11 с отличием. 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11-й класс закончили 62 выпускника. Аттестат особого образца и медаль «За особые успехи в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</w:rPr>
        <w:t>учении»  получили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14 выпускников (6 чел. – золото, 4 чел. – серебро). </w:t>
      </w:r>
    </w:p>
    <w:p w:rsidR="009A0D3A" w:rsidRPr="009A0D3A" w:rsidRDefault="009A0D3A" w:rsidP="009A0D3A">
      <w:pPr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D3A" w:rsidRPr="009A0D3A" w:rsidRDefault="009A0D3A" w:rsidP="009A0D3A">
      <w:pPr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</w:rPr>
        <w:t>В школах округа проводится систематическая и целенаправленная работа по развитию творческих и познавательных способностей учащихся.</w:t>
      </w:r>
    </w:p>
    <w:p w:rsidR="009A0D3A" w:rsidRPr="009A0D3A" w:rsidRDefault="009A0D3A" w:rsidP="009A0D3A">
      <w:pPr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муниципального этапа Всероссийской олимпиады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 16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6 школ  приняли участие в региональном этапе в Нижнем Новгороде. Из них 2 участника заняли призовые места по основам права.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Атауллина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Диляра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обучающаяся 11 класса  МОУ </w:t>
      </w: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Красногорская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СШ стала победителем по  праву.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Махмутова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Чулпан ,</w:t>
      </w:r>
      <w:proofErr w:type="gram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обучающаяся 11 класса  МОУ </w:t>
      </w: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Красногорская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СШ стала призером по  праву.</w:t>
      </w:r>
    </w:p>
    <w:p w:rsidR="009A0D3A" w:rsidRPr="009A0D3A" w:rsidRDefault="009A0D3A" w:rsidP="009A0D3A">
      <w:pPr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–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Атауллина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 Алексеевна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</w:rPr>
        <w:t xml:space="preserve">Ежегодно достойно представляют наш район, занимая призовые места, обучающиеся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</w:rPr>
        <w:t>Красногорской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</w:rPr>
        <w:t xml:space="preserve"> СШ на </w:t>
      </w:r>
      <w:r w:rsidRPr="009A0D3A">
        <w:rPr>
          <w:rFonts w:ascii="Times New Roman" w:eastAsia="Times New Roman" w:hAnsi="Times New Roman" w:cs="Times New Roman"/>
          <w:bCs/>
          <w:iCs/>
          <w:sz w:val="24"/>
          <w:szCs w:val="24"/>
        </w:rPr>
        <w:t>Межрегиональной олимпиаде по татарскому языку и литературе в Татарстане. В прошедшем году 3 участницы заняли призовые места.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Сафиуллина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Сылу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обучающаяся 11 класса - призёр   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Халилуллина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Ильнара, обучающаяся 8 класса - призёр   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Аллямова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Галия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обучающаяся 9 класса - призер  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Серажетдинова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Сара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Абдулхаевна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</w:rPr>
        <w:t>ФОТО</w:t>
      </w:r>
    </w:p>
    <w:p w:rsidR="009A0D3A" w:rsidRPr="009A0D3A" w:rsidRDefault="009A0D3A" w:rsidP="009A0D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</w:rPr>
        <w:t xml:space="preserve">Выявлению лиц, проявляющих выдающиеся способности, развитию социальной активности ученика способствует ежегодные районные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</w:rPr>
        <w:t>конкурс  «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</w:rPr>
        <w:t xml:space="preserve">Ученик года» Победителями конкурса стали обучающиеся из четырех  школ округа. 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0D3A" w:rsidRPr="009A0D3A" w:rsidRDefault="009A0D3A" w:rsidP="009A0D3A">
      <w:pPr>
        <w:spacing w:after="0" w:line="240" w:lineRule="auto"/>
        <w:ind w:left="-567" w:right="-143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 округе активно развиваются техническая и естественно-научная направленности. Воспитанники объединений «Робототехника» и «</w:t>
      </w:r>
      <w:proofErr w:type="spell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Авиамоделирование</w:t>
      </w:r>
      <w:proofErr w:type="spell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участвуют в зональных и региональных конкурсах и имеют награды победителей и призеров.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76" w:lineRule="auto"/>
        <w:ind w:left="-567" w:right="-143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Пресняков Алексей Евгеньевич, учитель технологии МОУ </w:t>
      </w: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Можаров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Майданская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СШ стал победителем муниципального и участником зонального этапа Всероссийского конкурса «Учитель года – 2025». 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Федотова Александра Николаевна – педагог МБОУ </w:t>
      </w:r>
      <w:proofErr w:type="spellStart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Пильнинская</w:t>
      </w:r>
      <w:proofErr w:type="spellEnd"/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средняя школа №2 – финалист Всероссийского конкурса «Лига вожатых»,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Москва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Серажетдинова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Сара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Абдулхаевна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учитель татарского языка и литературы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Красногорская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 – участник Всероссийского съезда учителей, г. Москва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76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привлечения детей округа к занятиям физической культурой и спортом ежегодно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 окружные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среди учащихся и воспитанников  образовательных учреждений по 16 видам спорта. </w:t>
      </w:r>
    </w:p>
    <w:p w:rsidR="009A0D3A" w:rsidRPr="009A0D3A" w:rsidRDefault="009A0D3A" w:rsidP="009A0D3A">
      <w:pPr>
        <w:spacing w:after="0" w:line="240" w:lineRule="auto"/>
        <w:ind w:left="-567" w:right="-14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наших спортсменов известны далеко за пределами округа.  Их упорство и талант ярко проявляются на межрайонных, зональных и региональных соревнованиях, где юные чемпионы неизменно завоевывают призовые места. </w:t>
      </w:r>
    </w:p>
    <w:p w:rsidR="009A0D3A" w:rsidRPr="009A0D3A" w:rsidRDefault="009A0D3A" w:rsidP="009A0D3A">
      <w:pPr>
        <w:spacing w:after="0" w:line="240" w:lineRule="auto"/>
        <w:ind w:left="-567" w:right="-143" w:firstLine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ФОТО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76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округе уделяется вопросу организации отдыха, оздоровления и занятости детей. В 2025 году из муниципального бюджета на эти цели израсходовано 5 585 700 рублей</w:t>
      </w:r>
    </w:p>
    <w:p w:rsidR="009A0D3A" w:rsidRPr="009A0D3A" w:rsidRDefault="009A0D3A" w:rsidP="009A0D3A">
      <w:pPr>
        <w:shd w:val="clear" w:color="auto" w:fill="FFFFFF"/>
        <w:spacing w:after="0" w:line="276" w:lineRule="auto"/>
        <w:ind w:left="-567" w:right="-14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округа действовало 17 летних оздоровительных лагерей, 12 дворовых площадок, 1 прогулочная группа, 5 трудовых подростковых бригад. </w:t>
      </w:r>
    </w:p>
    <w:p w:rsidR="009A0D3A" w:rsidRPr="009A0D3A" w:rsidRDefault="009A0D3A" w:rsidP="009A0D3A">
      <w:pPr>
        <w:spacing w:after="0" w:line="240" w:lineRule="auto"/>
        <w:ind w:left="-567"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пополняется и совершенствуется материально - техническая база образовательных учреждений. Благодаря участию в муниципальных, областных и федеральных программах на условиях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 серьезный ремонт в ряде учреждений.</w:t>
      </w:r>
    </w:p>
    <w:p w:rsidR="009A0D3A" w:rsidRPr="009A0D3A" w:rsidRDefault="009A0D3A" w:rsidP="009A0D3A">
      <w:pPr>
        <w:spacing w:after="0" w:line="240" w:lineRule="auto"/>
        <w:ind w:left="-567"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Капитальный ремонт кровли в МБДОУ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в рамках государственной программы «Капитальный ремонт образовательных организаций; 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муниципальной программы «Доступная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среда»   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в МОУ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Можаров-Майданская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 и закуплено соответствующее оборудование.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млн рублей по схеме 50 на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50  выделены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реализацию мероприятий по исполнению требований антитеррористической защищенности объектов образования: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школах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оборудованы входные зоны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установлена автономная система экстренного оповещения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обновлены системы видеонаблюдения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установлены видеодомофоны </w:t>
      </w:r>
    </w:p>
    <w:p w:rsidR="009A0D3A" w:rsidRPr="009A0D3A" w:rsidRDefault="009A0D3A" w:rsidP="009A0D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10 млн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выделено из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 бюджета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ремонт образовательных учреждений в рамках подготовки к новому учебному году.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местного бюджета: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проведена модернизация котельной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Бортсурманская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текущий ремонт актового зала и музейной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комнаты  в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МБДОУ Красногорский д/с и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Столбищенская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произведен текущий ремонт пищеблока в МБОУ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 № 2</w:t>
      </w: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многое другое: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произведен текущий ремонт канализации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Курмышская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 и МБДОУ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Петряксинский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д/с;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-- текущий ремонт первого этажа МБДОУ Красногорский д/с;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произведен текущий ремонт туалетных комнат в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Можаров-Майданская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произведена замена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котлов  в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МБДОУ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дс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№2 и замена дымохода в котельной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Можаров-Майданская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СШ, ремонт котла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Столбищенская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частичный ремонт водопровода в здании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ОШ;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произведена замена оконных блоков в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Столбищенская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Озерская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ОШ, МБДОУ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д/с;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полностью заменена АПС в 9 объектах –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Столбищенская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Озерская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ОШ,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Петряксинская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ОШ,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Бортсурманская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Курмышская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СШ,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Можаров-Майданская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СШ, МБДОУ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Медянский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д/с и МБДОУ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д/с № 3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ремонт цокольного этажа МОУ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Медянская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СШ.)</w:t>
      </w:r>
    </w:p>
    <w:p w:rsidR="009A0D3A" w:rsidRPr="009A0D3A" w:rsidRDefault="009A0D3A" w:rsidP="009A0D3A">
      <w:pPr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 -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важная составляющая социальной инфраструктуры каждого населённого пункта. Именно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 оказывает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влияние на качество жизни жителей. Эффективная работа учреждений культуры значительно повышает уровень удовлетворённости населения, создает комфортные условия для всестороннего развития личности.</w:t>
      </w:r>
    </w:p>
    <w:p w:rsidR="009A0D3A" w:rsidRPr="009A0D3A" w:rsidRDefault="009A0D3A" w:rsidP="009A0D3A">
      <w:pPr>
        <w:spacing w:after="81" w:line="360" w:lineRule="auto"/>
        <w:ind w:left="-567" w:right="-143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В 2024 году </w:t>
      </w:r>
      <w:proofErr w:type="spell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Красногорская</w:t>
      </w:r>
      <w:proofErr w:type="spell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сельская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библиотека,  успешно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прошла отбор для участия в Национальном проекте «Культура» с целью создания современной модельной библиотеки в 2025 году 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В ходе реализации проекта «Семейные ценности и инфраструктура культуры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»,  были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заключены 36 контрактов на создание модельной библиотеки. Общий объем финансирования модернизации 8 080 000,00 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распределен следующим образом: федеральный бюджет: 7 680 тыс. рублей, областной бюджет 320 </w:t>
      </w:r>
      <w:proofErr w:type="spellStart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тыс</w:t>
      </w:r>
      <w:proofErr w:type="spellEnd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 xml:space="preserve"> рублей, местный бюджет 80 тыс. рублей.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В рамках модернизации по модельному стандарту </w:t>
      </w:r>
      <w:proofErr w:type="spell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Красногорская</w:t>
      </w:r>
      <w:proofErr w:type="spell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сельская библиотека- оснащена современным интерактивным и демонстрационным оборудованием, новой компьютерной техникой, мебелью и элементами интерьера. Фонд библиотеки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пополнился  новыми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изданиями, а персонал прошел необходимое переобучение. 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В 2025 году Культурно – досуговый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</w:rPr>
        <w:t>центр  прошёл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конкурсный отбор и  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был внесен в список участников на получение средств на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</w:rPr>
        <w:t>модернизацию  кинозала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. Учреждением были получено 2 937 981,00руб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</w:rPr>
        <w:t>на  приобретение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мультимедийного проектора, моторизированного экрана, звукового оборудования.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9A0D3A">
        <w:rPr>
          <w:rFonts w:ascii="Times New Roman" w:eastAsia="Calibri" w:hAnsi="Times New Roman" w:cs="Times New Roman"/>
          <w:bCs/>
          <w:sz w:val="24"/>
          <w:szCs w:val="24"/>
        </w:rPr>
        <w:t>Грантовом</w:t>
      </w:r>
      <w:proofErr w:type="spellEnd"/>
      <w:r w:rsidRPr="009A0D3A">
        <w:rPr>
          <w:rFonts w:ascii="Times New Roman" w:eastAsia="Calibri" w:hAnsi="Times New Roman" w:cs="Times New Roman"/>
          <w:bCs/>
          <w:sz w:val="24"/>
          <w:szCs w:val="24"/>
        </w:rPr>
        <w:t xml:space="preserve"> конкурсе </w:t>
      </w:r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 на лучшее учреждение культуры среди сельских поселений Нижегородской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</w:rPr>
        <w:t>области,  Каменская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сельская библиотека  получила грант  на сумму 141 666руб.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В рамках федерального проекта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</w:rPr>
        <w:t>« Семейные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ценности  и инфраструктура  культуры» национального проекта «Семья»   готовятся  документы  на  </w:t>
      </w:r>
      <w:proofErr w:type="spellStart"/>
      <w:r w:rsidRPr="009A0D3A">
        <w:rPr>
          <w:rFonts w:ascii="Times New Roman" w:eastAsia="Calibri" w:hAnsi="Times New Roman" w:cs="Times New Roman"/>
          <w:sz w:val="24"/>
          <w:szCs w:val="24"/>
        </w:rPr>
        <w:t>Медянскую</w:t>
      </w:r>
      <w:proofErr w:type="spellEnd"/>
      <w:r w:rsidRPr="009A0D3A">
        <w:rPr>
          <w:rFonts w:ascii="Times New Roman" w:eastAsia="Calibri" w:hAnsi="Times New Roman" w:cs="Times New Roman"/>
          <w:sz w:val="24"/>
          <w:szCs w:val="24"/>
        </w:rPr>
        <w:t xml:space="preserve">  сельскую  библиотеку  для участия в конкурсном  отборе на создание модельных библиотек 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bidi="en-US"/>
        </w:rPr>
        <w:t>Все учреждения культуры участвуют в реализация программы «Пушкинская карта»: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  <w:r w:rsidRPr="009A0D3A">
        <w:rPr>
          <w:rFonts w:ascii="Times New Roman" w:eastAsia="Calibri" w:hAnsi="Times New Roman" w:cs="Times New Roman"/>
          <w:sz w:val="24"/>
          <w:szCs w:val="24"/>
        </w:rPr>
        <w:t>-За отчетный период в КДЦ было проведено 11 мероприятий в рамках программы. В том числе, из них 7 мероприятий – гастроли, реализовано 1 887 билетов.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i/>
          <w:sz w:val="24"/>
          <w:szCs w:val="24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</w:rPr>
        <w:t>- МБУК «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</w:rPr>
        <w:t>Пильнинская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</w:rPr>
        <w:t xml:space="preserve"> ЦБС» - реализовано 496 билетов.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i/>
          <w:sz w:val="24"/>
          <w:szCs w:val="24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ДШИ- проведено 7 мероприятий, продано 100 билетов.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i/>
          <w:sz w:val="24"/>
          <w:szCs w:val="24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-Краеведческий музей-   реализовано 500 билетов.</w:t>
      </w: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tabs>
          <w:tab w:val="left" w:pos="-426"/>
        </w:tabs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программе «Пушкинская карта» способствует укреплению материально-технической базы учреждений культуры.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Calibri" w:hAnsi="Times New Roman" w:cs="Times New Roman"/>
          <w:sz w:val="24"/>
          <w:szCs w:val="24"/>
        </w:rPr>
      </w:pP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отчётный период сотрудниками МБУК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культурно-досуговый центр проведено 353 мероприятия, которые посетили 57 284 человека,</w:t>
      </w: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число участников клубных формирований 186, </w:t>
      </w: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проведено 112 детских мероприятия, которые посетили 7462 человек;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платные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мероприятия  34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посетили 3423  человека 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 проведено 49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молодёжных  мероприятий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количество посетителей – 5430 человека.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Было подготовлено и проведено 26 значимых мероприятий, среди которых концертные программы, мероприятия патриотической направленности и посвященные профессиональным праздникам.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высоком профессиональном уровне, нашедшем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отклик  у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зрителей, прошли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окружной многожанровый фестиваль-конкурс детского творчества «Радуга талантов» и в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ечер русского шансона «Золотые струны души».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Не оставляют равнодушными и более того привлекают жителей других округов наши традиционные мероприятия.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Соревнования по подлёдному лову рыбы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ёрш – 2025 г»: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Межокружной молодёжный туристический слёт «Южный полюс – 2025»:</w:t>
      </w: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Окружной  фестиваль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конкурс хоровых коллективов «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поющий край»-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Особая роль в работе учреждений культуры отводится патриотическому воспитанию. Традиционно проведены торжественные мероприятия ко Дню пограничника, Дню </w:t>
      </w:r>
      <w:proofErr w:type="spellStart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военно</w:t>
      </w:r>
      <w:proofErr w:type="spellEnd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–морского флота, Дню воздушно–десантных войск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Ежегодно улучшается материально-техническая база учреждения. В 2025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  учреждением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приобретены сценические  костюмы, микрофоны, баннеры.  Все это позволяет сотрудникам культурно – досугового центра профессионально и на должном уровне выполнять свои обязанности и удовлетворять культурные потребности жителей района. 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Достижения: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-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Хореографический коллектив «Созвездие», рук И.А. Рычкова, стал лауреатом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III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многожанрового патриотического конкурса «Таланты Отечества – 2025», Международного конкурса – фестиваля «Все начинается с мечты», Всероссийского фестиваля-конкурса  «Щелкунчик», дипломантом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Межокружного молодежного фестиваля «Новое поколение о войне» по поддержке команды креативных практик, о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бластного многожанрового фестиваля -конкурса народного творчества в рамках регионального фестиваля народного творчества «Салют Победы»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- Танцевальный коллектив «Фантазия», рук. Усманова Л.Ш., -дипломант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VII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патриотического конкурса «Родина моя», лауреат Всероссийского конкурса-фестиваля искусств «Талантливая страна»;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Дуэт «Пламя», рук.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Коробейникова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А.А.- дипломант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межмуниципального фестиваля –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конкурса  патриотической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песни «Пусть всегда будет солнце»,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  <w:t>IV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Межокружного фестиваля «</w:t>
      </w:r>
      <w:proofErr w:type="spellStart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Сергачские</w:t>
      </w:r>
      <w:proofErr w:type="spellEnd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узоры»;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Танцевальный коллектив «Возрождение», рук. Конева М.С.- дипломант 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Межрегионального фестиваля татарской культуры «Милли кой»;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Вокальный ансамбль «Родные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просторы»Рук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В.А.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Австр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-дипломант 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Межмуниципального фестиваля Военно-Патриотической песни, в рамках 80-летия Великой Победы "Песня Памяти и Мира";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Коллектив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округа- дипломант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Межокружного фестиваля -конкурса самодеятельного народного творчества представителей старшего поколения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«Нам года не беда». Номинации: «Осенний погребок», «А вам слабо?», «Как молоды мы были».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Народный хор ветеранов «Вдохновение», рук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Тактаева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Т.В.- дипломант </w:t>
      </w:r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Межокружного фестиваля -конкурса самодеятельного народного творчества представителей старшего поколения «Нам года не беда». Номинация «Пой сердцем</w:t>
      </w:r>
      <w:proofErr w:type="gramStart"/>
      <w:r w:rsidRPr="009A0D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.</w:t>
      </w:r>
      <w:proofErr w:type="gramEnd"/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Pr="009A0D3A" w:rsidRDefault="009A0D3A" w:rsidP="009A0D3A">
      <w:pPr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Библиотечная деятельность муниципального бюджетного учреждения культуры «</w:t>
      </w:r>
      <w:proofErr w:type="spell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Пильнинская</w:t>
      </w:r>
      <w:proofErr w:type="spell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централизованная библиотечная система» в 2025 году была многопланова и разнообразна. Библиотеки продолжали совершенствовать свою деятельность как информационных, культурных и образовательных центров для различных категорий пользователей, часть массовых мероприятий была перенесена в онлайн пространство. Всего по округу было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проведено  1837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массовых мероприятий, на которых присутствовало 75355 человек.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музее работало 34 выставки, 31 из которых открыто в текущем году.</w:t>
      </w:r>
    </w:p>
    <w:p w:rsidR="009A0D3A" w:rsidRPr="009A0D3A" w:rsidRDefault="009A0D3A" w:rsidP="009A0D3A">
      <w:pPr>
        <w:spacing w:before="100" w:beforeAutospacing="1" w:after="100" w:afterAutospacing="1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яркие и интересные – «Красота рукотворная» - выставка, посвященная резчику по дереву Назарову А.Н. Выставка охолощенного оружия времен Великой Отечественной войны «Оружие Победы». Выставка самоваров «В гостях у самовара».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проведённых экскурсий-572, их посетило 15108 человек.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 40 массовых мероприятий на которых присутствовало 1480 человек.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заработанных средств музея составила -99700,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00 .</w:t>
      </w:r>
      <w:proofErr w:type="gramEnd"/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яркие мероприятия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«Ученый – ветеринар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Тарнорудов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М.Е.» в честь 165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летия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ученого, «Солдатские матери», для детей дошкольного возраста и другие.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Calibri" w:hAnsi="Times New Roman" w:cs="Times New Roman"/>
          <w:i/>
          <w:sz w:val="24"/>
          <w:szCs w:val="24"/>
        </w:rPr>
      </w:pP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работает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Пильнинская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им.С.М.Ляпунова</w:t>
      </w:r>
      <w:proofErr w:type="spellEnd"/>
    </w:p>
    <w:p w:rsidR="009A0D3A" w:rsidRPr="009A0D3A" w:rsidRDefault="009A0D3A" w:rsidP="009A0D3A">
      <w:pPr>
        <w:widowControl w:val="0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widowControl w:val="0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widowControl w:val="0"/>
        <w:spacing w:after="0" w:line="240" w:lineRule="auto"/>
        <w:ind w:left="-567" w:right="-143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 реализуются дополнительные предпрофессиональные программы – обучается 64 человека, </w:t>
      </w:r>
      <w:proofErr w:type="gram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  общеразвивающие</w:t>
      </w:r>
      <w:proofErr w:type="gram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программы - обучаются 84 человека. </w:t>
      </w:r>
    </w:p>
    <w:p w:rsidR="009A0D3A" w:rsidRPr="009A0D3A" w:rsidRDefault="009A0D3A" w:rsidP="009A0D3A">
      <w:pPr>
        <w:spacing w:after="0" w:line="240" w:lineRule="auto"/>
        <w:ind w:left="-567" w:right="-143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 творческих мероприятиях силами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ДШИ  участвовало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78 человек (52,7%). </w:t>
      </w:r>
    </w:p>
    <w:p w:rsidR="009A0D3A" w:rsidRPr="009A0D3A" w:rsidRDefault="009A0D3A" w:rsidP="009A0D3A">
      <w:pPr>
        <w:spacing w:after="0" w:line="240" w:lineRule="auto"/>
        <w:ind w:left="-567" w:right="-143"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Призерами наиболее значимых конкурсов являются 13 учащихся (8,7 %). </w:t>
      </w: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before="100" w:beforeAutospacing="1" w:after="100" w:afterAutospacing="1" w:line="240" w:lineRule="auto"/>
        <w:ind w:left="-567" w:right="-143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сфера округа должна поддерживаться комфортными условиями проживания жителей </w:t>
      </w:r>
      <w:proofErr w:type="spell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округа. А они создаются благодаря проведению мероприятий по благоустройству, строительству новых дорог и жилья, развитием инфраструктуры.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проектов благоустройства помогает создать комфортные условия для проживания, повышает привлекательность и функциональность различных общественных пространств. В районе успешно продолжается практика реализации проектов в рамках инициативного бюджетирования – эффективного инструмента по решению вопросов местного значения.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tabs>
          <w:tab w:val="left" w:pos="709"/>
        </w:tabs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мероприятий реализации муниципальной программы «Формирование комфортной городской среды»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2025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Пильнинскому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муниципальному округу из областного бюджета выделена субсидия  в размере 5447,0 тыс. руб., доля местного бюджета составила 2460,6 тыс. руб. </w:t>
      </w:r>
    </w:p>
    <w:p w:rsidR="009A0D3A" w:rsidRPr="009A0D3A" w:rsidRDefault="009A0D3A" w:rsidP="009A0D3A">
      <w:pPr>
        <w:spacing w:after="0" w:line="240" w:lineRule="auto"/>
        <w:ind w:left="-567" w:right="-143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рамках мероприятий реализации программы </w:t>
      </w:r>
      <w:proofErr w:type="gramStart"/>
      <w:r w:rsidRPr="009A0D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благоустроен  сквер</w:t>
      </w:r>
      <w:proofErr w:type="gramEnd"/>
      <w:r w:rsidRPr="009A0D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Петра 1 в </w:t>
      </w:r>
      <w:proofErr w:type="spellStart"/>
      <w:r w:rsidRPr="009A0D3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р.п</w:t>
      </w:r>
      <w:proofErr w:type="spellEnd"/>
      <w:r w:rsidRPr="009A0D3A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Пильна.</w:t>
      </w:r>
      <w:r w:rsidRPr="009A0D3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Общая с</w:t>
      </w: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тоимость 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  -</w:t>
      </w:r>
      <w:proofErr w:type="gramEnd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7 907,6 тыс.  руб., из них 2460,</w:t>
      </w:r>
      <w:proofErr w:type="gramStart"/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рублей -средства местного бюджета</w:t>
      </w:r>
      <w:r w:rsidRPr="009A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A0D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Благоустроено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4  дворовых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 в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Пильна 4 дворовых территории в 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Курмыш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сумму 3 915,8 тыс. руб.,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них средства областного бюджета 2 767,5 тыс. руб., средства местного бюджета – 1148,3 тыс. руб.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2026 году планируется благоустроить детскую площадку с зоной отдыха на ул. 40 лет Победы в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bidi="en-US"/>
        </w:rPr>
        <w:t>р.п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bidi="en-US"/>
        </w:rPr>
        <w:t>. Пильна. Стоимость данного проекта 7 560,8 тыс.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9A0D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 счет средств гранта из областного бюджета за победу в конкурсе «Лучшее муниципальное образование» (1 400 тыс. руб.) планируется заменить резиновое покрытие детской площадки «Корабль мечты».</w:t>
      </w: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2025 год в муниципальном округе построено и пущено в эксплуатацию 13 объектов, из них из них 7 индивидуальных жилых домов, площадью 842,5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м.и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ж/д блокированной застройки, площадью 152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7 индивидуальных жилых домов, площадью 842,5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кв.м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.;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- 1 ж/д блокированной застройки, площадью 152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кв.м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- 1 социальный объект- Магазин площадью 426,0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кв.м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(ООО «Торговый дом «Славянский»,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Кулигина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С.А,)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Пильна, пер. Больничный.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- 1 социальный объект, (реконструкция) - Магазин площадью 402,7 </w:t>
      </w:r>
      <w:proofErr w:type="spellStart"/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кв.м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 ООО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Стелс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»)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Пильна, ул. Урицкого, д. 3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- 1 сельскохозяйственный объект, (реконструкция) - Коровник на 230 головы площадью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1498,1кв.м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 СПК «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»)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м.о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с.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Деяново</w:t>
      </w:r>
      <w:proofErr w:type="spellEnd"/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-1 производственный объект - Нежилое здание- швейная мастерская площадью 783,0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кв.м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(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Антонян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А.О.)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р.п.Пильна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ул. Мира, д.4</w:t>
      </w: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-1 иное - Модуль газозаправочный, площадь застройки 56,6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кв.м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(ООО Газпром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трансгаз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Нижний Новгород),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Пильнинский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м.о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с.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Можаров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Майдан, территория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Промзона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ЗУ 1.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Проведена большая работа по техническому перевооружению  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котельной 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Бортсурманской</w:t>
      </w:r>
      <w:proofErr w:type="spellEnd"/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школы,  муниципальный контракт на сумму 10584,013 тыс. рублей и финансируемый из местного бюджета,  был исполнен 05.09.2025 г.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настоящее время планируется выполнение работ по техническому перевооружению газовой котельной МОУ ПСШ № 2 (замена 5-и котлов и замена узла учета расхода газа).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г. были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переведены  с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угля на природный газ  здание ДК с. Столбищи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Большеандосовского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 и административное здание в с. Жданово 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Тенекаевского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отдела.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 проекты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 финансировались из местного бюджета.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активная работа по реализации программы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домовладений, газифицировано 425 домовладений и в 49 домовладениях ведутся работы внутри границ земельных участков.  4 заявителям предоставлена социальная выплата на газификацию домовладений на сумму 60,0 тыс.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год выполнены работы по ремонту крыши 2 многоквартирных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капитальный ремонт внутридомовых систем электроснабжения дома  ул. 40 лет Победы. Общая стоимость выполненных работ составила 13,3 млн.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2026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планируется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капитальный ремонт крыши многоквартирного дома № 105 по ул. Ленина. Ориентировочная стоимость работ 15,8 млн.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реализации региональной государственной программы «Комплексное развитие сельских территорий» в 2025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  <w:lang w:eastAsia="ru-RU"/>
        </w:rPr>
        <w:t>году  установлены</w:t>
      </w:r>
      <w:proofErr w:type="gram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A0D3A">
        <w:rPr>
          <w:rFonts w:ascii="Times New Roman" w:eastAsia="Calibri" w:hAnsi="Times New Roman" w:cs="Times New Roman"/>
          <w:sz w:val="24"/>
          <w:szCs w:val="24"/>
          <w:lang w:eastAsia="ru-RU"/>
        </w:rPr>
        <w:t>светодиодные фонари, произведен ремонт дорог :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 ул. Казанка в с.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Наваты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проведен  ремонт</w:t>
      </w:r>
      <w:proofErr w:type="gram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асфальтобетонного покрытия  дороги по ул. Советская в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р.п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Пильна, ремонт автомобильной дороги местного значения по Юбилейная в с.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Курмыш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  ремонт участка автомобильной дороги по ул. Садовая, ул. Луговая и ул. Карла Маркса  в с.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Медяна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ремонт входной группы  и фасада здания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Деяновского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СДК  в с.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Деяново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стоимость выполненных </w:t>
      </w:r>
      <w:proofErr w:type="gramStart"/>
      <w:r w:rsidRPr="009A0D3A">
        <w:rPr>
          <w:rFonts w:ascii="Times New Roman" w:eastAsia="Calibri" w:hAnsi="Times New Roman" w:cs="Times New Roman"/>
          <w:sz w:val="24"/>
          <w:szCs w:val="24"/>
          <w:lang w:eastAsia="ru-RU"/>
        </w:rPr>
        <w:t>мероприятий  составила</w:t>
      </w:r>
      <w:proofErr w:type="gramEnd"/>
      <w:r w:rsidRPr="009A0D3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10 174,7 тыс. руб.,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в том числе: средства федерального бюджета – 1 521,3 тыс.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средства областного бюджета – 5 177,9 тыс. руб.</w:t>
      </w: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средства бюджета округа – 2 344,4 тыс.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средства спонсоров и населения – 1 131,1 </w:t>
      </w:r>
      <w:proofErr w:type="spellStart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тыс.руб</w:t>
      </w:r>
      <w:proofErr w:type="spellEnd"/>
      <w:r w:rsidRPr="009A0D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отремонтировано 18,9 км. дорог местного значения.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 активному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участию в программе инициативного бюджетирования «Вам решать» были отремонтированы дороги в 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Курмыш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Столбищи,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Тенекаево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,  р. п. Пильна на общую сумму  16  млн. рублей, из которых       10,1 млн. рублей – средства областного бюджета.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дорог областного значения в округе практически не проводился. ООО «Мелиоратор» проведен ремонт участка автомобильной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  «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Подъезд к 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Старомочалеи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а/д Пильна – Сеченово» протяженностью 0,6 км.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 на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 планируется ремонт  20 км., участка дороги Пильна -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Курмыш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Завершены работы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проведению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ремонта дорожного моста  через р.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Медяна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с. Каменка  , который длительное время находился в аварийном состоянии, движение по нему открыто. Начаты работы по капитальному ремонту моста через р.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Медяна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д. Куликовка и 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Старомочалеи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реализацией в 2026 - 2027 годах. И началась долгожданная работа по проведению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изыскательских работ по мосту через р. Пьяна в районе 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Мамешево</w:t>
      </w:r>
      <w:proofErr w:type="spellEnd"/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объем работ за прошлогодний период был проделан МУП ««Городской жилфонд», все объекты своевременно подготовлены к работе в зимний период 2025-2026 годов. Проводится работа по текущему ремонту и замене насосного оборудования на водозаборах, в ежедневном режиме приходится устранять локальные аварии на водопроводных сетях из-за их высокой изношенности практически во всех сельских населенных пунктах округа и проводить текущий ремонт электрооборудования. В текущем году заменено более 8 насосов, в рамках текущего ремонта отремонтировано только 300 метров водопроводных сетей с ремонтом водопроводных колодцев, в д.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Беловка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Данные мероприятия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 при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поддержке администрации округа, что позволило улучшить ситуацию с водоснабжением населенных пунктов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большая работа по содержанию жилого фонда, который в большинстве также находится в изношенном состоянии.</w:t>
      </w:r>
    </w:p>
    <w:p w:rsidR="009A0D3A" w:rsidRPr="009A0D3A" w:rsidRDefault="009A0D3A" w:rsidP="009A0D3A">
      <w:pPr>
        <w:shd w:val="clear" w:color="auto" w:fill="FFFFFF"/>
        <w:spacing w:before="100" w:beforeAutospacing="1" w:after="100" w:afterAutospacing="1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15 домах проведен текущий ремонт крыш.</w:t>
      </w:r>
    </w:p>
    <w:p w:rsidR="009A0D3A" w:rsidRPr="009A0D3A" w:rsidRDefault="009A0D3A" w:rsidP="009A0D3A">
      <w:pPr>
        <w:shd w:val="clear" w:color="auto" w:fill="FFFFFF"/>
        <w:spacing w:before="100" w:beforeAutospacing="1" w:after="100" w:afterAutospacing="1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14 домах капитальный ремонт дымоходов.</w:t>
      </w:r>
    </w:p>
    <w:p w:rsidR="009A0D3A" w:rsidRPr="009A0D3A" w:rsidRDefault="009A0D3A" w:rsidP="009A0D3A">
      <w:pPr>
        <w:shd w:val="clear" w:color="auto" w:fill="FFFFFF"/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7 МКД отремонтированы подъездные двери, в 10 МКД отремонтированы подъезды, произведен ремонт подъездных окон в 3 МКД, отремонтирован подвал в 1 МКД, установлены изгороди около 3х МКД.    Также проводились работы по текущему ремонту водопроводных и канализационных сетей, замене электропроводки в МКД. Проведен текущий ремонт на очистных сооружениях. Отремонтированы колодцы и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коллекторы,  проведен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ремонт электродвигателей и другого оборудования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0D3A" w:rsidRPr="009A0D3A" w:rsidRDefault="009A0D3A" w:rsidP="009A0D3A">
      <w:pPr>
        <w:shd w:val="clear" w:color="auto" w:fill="FFFFFF"/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расходов на ремонт по предприятию составила 3 670,3 тыс.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т. числе на водоснабжение 1 290,5 тыс. руб., на водоотведение 801,2 тыс. руб. на ремонт МКД 1 034,5 тыс. руб.</w:t>
      </w:r>
    </w:p>
    <w:p w:rsidR="009A0D3A" w:rsidRPr="009A0D3A" w:rsidRDefault="009A0D3A" w:rsidP="009A0D3A">
      <w:pPr>
        <w:shd w:val="clear" w:color="auto" w:fill="FFFFFF"/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Значительную финансовую поддержку оказала администрация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.</w:t>
      </w:r>
      <w:proofErr w:type="gramEnd"/>
    </w:p>
    <w:p w:rsidR="009A0D3A" w:rsidRPr="009A0D3A" w:rsidRDefault="009A0D3A" w:rsidP="009A0D3A">
      <w:pPr>
        <w:shd w:val="clear" w:color="auto" w:fill="FFFFFF"/>
        <w:spacing w:before="100" w:beforeAutospacing="1" w:after="100" w:afterAutospacing="1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ВСЛЙД???????За счет бюджетных средств отремонтированы участки канализационной сети: по ул. Т. Мартемьяновой на сумму 104 350 руб., пер. Больничный до д.5 по ул. 40 лет Победы на сумму 1 326 839 руб.25 коп., установлена емкость для приема сточных вод от д.2 пер. Центральный и ул. Ленина д.20 на сумму 66 000 руб., для проведения благоустройства придомовых территорий  в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р.п.Пильна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выделены денежные средства в  сумме 1 939 000 руб., произведена видео диагностика и ремонт скважины в с. М.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Андосово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сумма составила 230 000 руб., также были выделены денежные средства на погашение задолженности за электроснабжение 2 687 484,35 руб. и покупку насосов   в сумме 598926 руб., Основной проблемой для коммунальных предприятий остаются неплатежи населения, которые составили более 21 млн. руб.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2025 году из-за отсутствия финансовых средств органами местного самоуправления поселений своими силами проводилась и в настоящее время проводится работа по содержанию контейнерных площадок, обустроенных в 2019-2024 годах.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В 2025 году из средств местного бюджета приобретен 41 зеленый контейнер и 1 трехместная контейнерная площадка. 25 контейнеров </w:t>
      </w:r>
      <w:proofErr w:type="gram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направлено  в</w:t>
      </w:r>
      <w:proofErr w:type="gram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Красногорский территориальный отдел, остальные направлены на замену сломанных по территориальным отделам.  Общая сумма затрат бюджета 922,0 тыс. руб. </w:t>
      </w:r>
    </w:p>
    <w:p w:rsidR="009A0D3A" w:rsidRPr="009A0D3A" w:rsidRDefault="009A0D3A" w:rsidP="009A0D3A">
      <w:pPr>
        <w:spacing w:after="0" w:line="240" w:lineRule="auto"/>
        <w:ind w:left="-567" w:right="-143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2026 году продолжится реализация региональной программы «Охрана окружающей среды Нижегородской области», планируется приобрести 10 контейнеров, 2 бункера и обустроить 29 контейнерных площадки.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миссия округа по предоставлении помощи населению была продолжена в 2025 году.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за счет средств федерального и областного бюджетов в сумме 17 893 524,00 в 2025 году приобретены в муниципальную собственность 5 жилых помещений, на первичном рынке жилья, построенных ООО Мелиоратор. Все они переданы детям-сиротам.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Нижегородской области от 23 марта 2007 г.  № 86 «Об утверждении Порядка предоставления материальной помощи гражданам, находящимся в трудной жизненной ситуации, в виде денежных средств» гражданам была предоставлена материальная помощь в размере: 203 747,58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рублей..</w:t>
      </w:r>
      <w:proofErr w:type="gramEnd"/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- материальная помощь на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софинансирование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расходов по восстановлению и ремонту жилых помещений 3 гражданам. Размер предоставленной материальной помощи за счет средств местного бюджета составил 123 647,58 рублей;</w:t>
      </w:r>
    </w:p>
    <w:p w:rsidR="009A0D3A" w:rsidRPr="009A0D3A" w:rsidRDefault="009A0D3A" w:rsidP="009A0D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материальная помощь гражданам </w:t>
      </w:r>
      <w:proofErr w:type="spellStart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Пильнинского</w:t>
      </w:r>
      <w:proofErr w:type="spellEnd"/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округа, находящимся в трудной жизненной ситуации в размере 80 100,00 рублей.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360" w:lineRule="auto"/>
        <w:ind w:left="-567" w:right="-1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смотря на возникающие в течение прошедшего года проблемы, основные задачи по сохранению стабильности в экономике, устойчивому функционированию ее инфраструктуры и жизнеобеспечивающих отраслей, исполнению всех базовых социальных обязательств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 .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D3A" w:rsidRPr="009A0D3A" w:rsidRDefault="009A0D3A" w:rsidP="009A0D3A">
      <w:pPr>
        <w:spacing w:after="0" w:line="360" w:lineRule="auto"/>
        <w:ind w:left="-567" w:right="-1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говорят за себя.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отгруженных товаров собственного производства, выполнения работ, услуг собственными силами по полному кругу организаций по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  2025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  5 151,4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млн.руб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при оценке  на 2025 год  5 470,2 млн. руб. Исполнение данного показателя составляет порядка 94,2 %. Снижение показателя    в 2025 году по отношению к 2024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составило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20,67 % и  обусловлено  снижением  объемов отгрузки сферы деятельности «строительство» – 41,62  % к 2024 году по полному кругу организаций.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прибыли прибыльных по полному кругу предприятий по итогам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 года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115,5 млн. руб., что составляет 64,3 % к соответствующему периоду прошлого года.</w:t>
      </w:r>
      <w:r w:rsidRPr="009A0D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инвестиций в основной капитал за счет всех источников финансирования за 2025 год составил 926,4 млн. руб. Темп к аналогичному периоду прошлого года составил 84,2 %. Наибольший объема инвестиций в сфере сельского хозяйства – 696,1 млн. руб.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Фонд оплаты труда по полному кругу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 за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порядка 2710  млн. руб., с темпом роста 112,6 % к 2024 году. Среднемесячная заработная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 по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полному кругу организаций за 2025 год составила 54496   руб. с темпом роста  14,21  % к 2024 году.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napToGrid w:val="0"/>
          <w:w w:val="1"/>
          <w:sz w:val="24"/>
          <w:szCs w:val="24"/>
          <w:bdr w:val="none" w:sz="0" w:space="0" w:color="auto" w:frame="1"/>
          <w:shd w:val="clear" w:color="auto" w:fill="000000"/>
          <w:lang w:val="x-none" w:eastAsia="x-none" w:bidi="x-none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Заработная плата 2025 год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выросла  во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многих наблюдаемых видах экономической, в том числе таких как: « промышленность» -на 27 %, «образование» – на 21,6 %, «сельское хозяйство» - на 20 %. Задолженности по заработной плате в округе отсутствует.</w:t>
      </w:r>
      <w:r w:rsidRPr="009A0D3A">
        <w:rPr>
          <w:rFonts w:ascii="Times New Roman" w:eastAsia="Times New Roman" w:hAnsi="Times New Roman" w:cs="Times New Roman"/>
          <w:snapToGrid w:val="0"/>
          <w:w w:val="1"/>
          <w:sz w:val="24"/>
          <w:szCs w:val="24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9A0D3A" w:rsidRPr="009A0D3A" w:rsidRDefault="009A0D3A" w:rsidP="009A0D3A">
      <w:pPr>
        <w:spacing w:after="0" w:line="27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01.01.2026 г. численность официально зарегистрированных безработных составила 3 человека, уровень безработицы – 0,04 %.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этими цифрами стоит</w:t>
      </w: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большая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аграриев, предпринимателей, жителей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каждого очень важен в деятельности органов местного </w:t>
      </w:r>
      <w:proofErr w:type="gram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,</w:t>
      </w:r>
      <w:proofErr w:type="gram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направленной на развитие </w:t>
      </w:r>
      <w:proofErr w:type="spellStart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Пильнинской</w:t>
      </w:r>
      <w:proofErr w:type="spellEnd"/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0D3A" w:rsidRPr="009A0D3A" w:rsidRDefault="009A0D3A" w:rsidP="009A0D3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D3A" w:rsidRPr="009A0D3A" w:rsidRDefault="009A0D3A" w:rsidP="009A0D3A">
      <w:pPr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B46" w:rsidRPr="009A0D3A" w:rsidRDefault="00D71B46" w:rsidP="009A0D3A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sectPr w:rsidR="00D71B46" w:rsidRPr="009A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6A"/>
    <w:rsid w:val="003677CD"/>
    <w:rsid w:val="003A63E0"/>
    <w:rsid w:val="009A0D3A"/>
    <w:rsid w:val="00A01E6A"/>
    <w:rsid w:val="00D71B46"/>
    <w:rsid w:val="00E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4692"/>
  <w15:chartTrackingRefBased/>
  <w15:docId w15:val="{C85BDE49-70D7-460C-BF20-8F373E4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5834</Words>
  <Characters>33258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2026-04-29T07:00:00Z</cp:lastPrinted>
  <dcterms:created xsi:type="dcterms:W3CDTF">2026-04-15T13:13:00Z</dcterms:created>
  <dcterms:modified xsi:type="dcterms:W3CDTF">2026-04-29T07:01:00Z</dcterms:modified>
</cp:coreProperties>
</file>