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85" w:rsidRDefault="00FF5866">
      <w:pPr>
        <w:spacing w:line="100" w:lineRule="atLeast"/>
        <w:jc w:val="center"/>
        <w:rPr>
          <w:rFonts w:ascii="Arial" w:hAnsi="Arial"/>
          <w:b/>
        </w:rPr>
      </w:pPr>
      <w:r>
        <w:rPr>
          <w:noProof/>
          <w:lang w:eastAsia="ru-RU" w:bidi="ar-SA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33020</wp:posOffset>
                </wp:positionV>
                <wp:extent cx="601980" cy="722630"/>
                <wp:effectExtent l="0" t="0" r="0" b="0"/>
                <wp:wrapNone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01980" cy="722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251658240;o:allowoverlap:true;o:allowincell:true;mso-position-horizontal-relative:text;margin-left:236.8pt;mso-position-horizontal:absolute;mso-position-vertical-relative:text;margin-top:2.6pt;mso-position-vertical:absolute;width:47.4pt;height:56.9pt;">
                <v:path textboxrect="0,0,0,0"/>
                <v:imagedata r:id="rId9" o:title=""/>
              </v:shape>
            </w:pict>
          </mc:Fallback>
        </mc:AlternateContent>
      </w:r>
    </w:p>
    <w:p w:rsidR="00433185" w:rsidRDefault="00FF5866">
      <w:pPr>
        <w:spacing w:line="100" w:lineRule="atLeast"/>
        <w:rPr>
          <w:rFonts w:ascii="Arial" w:hAnsi="Arial"/>
        </w:rPr>
      </w:pPr>
      <w:r>
        <w:rPr>
          <w:rFonts w:ascii="Arial" w:hAnsi="Arial"/>
          <w:b/>
        </w:rPr>
        <w:br/>
      </w:r>
    </w:p>
    <w:p w:rsidR="00433185" w:rsidRDefault="00433185">
      <w:pPr>
        <w:spacing w:line="100" w:lineRule="atLeast"/>
        <w:jc w:val="center"/>
        <w:rPr>
          <w:rFonts w:ascii="Arial" w:hAnsi="Arial"/>
        </w:rPr>
      </w:pPr>
    </w:p>
    <w:p w:rsidR="00433185" w:rsidRDefault="00433185">
      <w:pPr>
        <w:spacing w:line="100" w:lineRule="atLeast"/>
        <w:jc w:val="center"/>
        <w:rPr>
          <w:rFonts w:ascii="Arial" w:hAnsi="Arial"/>
        </w:rPr>
      </w:pPr>
    </w:p>
    <w:p w:rsidR="00433185" w:rsidRDefault="00433185">
      <w:pPr>
        <w:spacing w:line="100" w:lineRule="atLeast"/>
        <w:jc w:val="center"/>
        <w:rPr>
          <w:rFonts w:ascii="Arial" w:hAnsi="Arial"/>
        </w:rPr>
      </w:pPr>
    </w:p>
    <w:p w:rsidR="00433185" w:rsidRDefault="00FF5866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</w:p>
    <w:p w:rsidR="00433185" w:rsidRDefault="00FF5866">
      <w:pPr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ПИЛЬНИНСКОГО МУНИЦИПАЛЬНОГО РАЙОНА </w:t>
      </w:r>
    </w:p>
    <w:p w:rsidR="00433185" w:rsidRDefault="00FF5866">
      <w:pPr>
        <w:spacing w:line="100" w:lineRule="atLeast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 w:rsidR="00433185" w:rsidRDefault="00FF5866">
      <w:pPr>
        <w:spacing w:line="10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33185" w:rsidRDefault="00433185">
      <w:pPr>
        <w:pStyle w:val="FR2"/>
        <w:spacing w:before="0" w:line="100" w:lineRule="atLeast"/>
        <w:ind w:left="0"/>
        <w:jc w:val="center"/>
        <w:rPr>
          <w:sz w:val="24"/>
          <w:szCs w:val="24"/>
        </w:rPr>
      </w:pPr>
    </w:p>
    <w:p w:rsidR="00433185" w:rsidRDefault="008F2C62">
      <w:pPr>
        <w:pStyle w:val="FR2"/>
        <w:spacing w:before="0" w:line="100" w:lineRule="atLea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от «12</w:t>
      </w:r>
      <w:r w:rsidR="00FF5866">
        <w:rPr>
          <w:sz w:val="24"/>
          <w:szCs w:val="24"/>
        </w:rPr>
        <w:t>» ян</w:t>
      </w:r>
      <w:r>
        <w:rPr>
          <w:sz w:val="24"/>
          <w:szCs w:val="24"/>
        </w:rPr>
        <w:t xml:space="preserve">варя 2021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№  05</w:t>
      </w:r>
    </w:p>
    <w:p w:rsidR="00433185" w:rsidRDefault="00433185">
      <w:pPr>
        <w:pStyle w:val="1f1"/>
        <w:spacing w:line="100" w:lineRule="atLeast"/>
        <w:rPr>
          <w:rFonts w:ascii="Times New Roman" w:hAnsi="Times New Roman"/>
          <w:sz w:val="24"/>
          <w:szCs w:val="24"/>
        </w:rPr>
      </w:pPr>
    </w:p>
    <w:p w:rsidR="00433185" w:rsidRDefault="00FF5866">
      <w:pPr>
        <w:spacing w:line="100" w:lineRule="atLeast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внесении изменений в муниципальную Программу комплексного развития</w:t>
      </w:r>
    </w:p>
    <w:p w:rsidR="00433185" w:rsidRDefault="00FF5866">
      <w:pPr>
        <w:spacing w:line="10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систем коммунальной инфраструктуры Пильнинского муниципального района </w:t>
      </w:r>
    </w:p>
    <w:p w:rsidR="00433185" w:rsidRDefault="00FF5866">
      <w:pPr>
        <w:spacing w:line="100" w:lineRule="atLeast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2014-2022 годы, утвержденную постановлением администрации Пильнинского муниципального района от 26 марта 2014 года № 233</w:t>
      </w:r>
    </w:p>
    <w:bookmarkEnd w:id="0"/>
    <w:p w:rsidR="00433185" w:rsidRDefault="00433185">
      <w:pPr>
        <w:spacing w:line="100" w:lineRule="atLeast"/>
        <w:jc w:val="center"/>
        <w:rPr>
          <w:sz w:val="24"/>
          <w:szCs w:val="24"/>
        </w:rPr>
      </w:pPr>
    </w:p>
    <w:p w:rsidR="00433185" w:rsidRDefault="00FF5866">
      <w:pPr>
        <w:pStyle w:val="ConsNormal"/>
        <w:ind w:firstLine="73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 131-ФЗ</w:t>
      </w:r>
      <w:r>
        <w:rPr>
          <w:rFonts w:ascii="Times New Roman" w:hAnsi="Times New Roman"/>
          <w:sz w:val="24"/>
          <w:szCs w:val="24"/>
        </w:rPr>
        <w:t xml:space="preserve"> «Об общих принципах организации местного самоуправления в РФ», Бюджетным Кодексом РФ, Уставом Пильнинского муниципального района, решением Земского собрания Пильнинского муниципального района от 11.12.2020 № 50 «О районном бюджете на 2021 год и на плановы</w:t>
      </w:r>
      <w:r>
        <w:rPr>
          <w:rFonts w:ascii="Times New Roman" w:hAnsi="Times New Roman"/>
          <w:sz w:val="24"/>
          <w:szCs w:val="24"/>
        </w:rPr>
        <w:t>й период 2022 и 2023 годов»,  администрация района постановляет:</w:t>
      </w:r>
    </w:p>
    <w:p w:rsidR="00433185" w:rsidRDefault="00433185">
      <w:pPr>
        <w:spacing w:line="100" w:lineRule="atLeast"/>
        <w:ind w:firstLine="552"/>
        <w:jc w:val="both"/>
        <w:rPr>
          <w:sz w:val="24"/>
          <w:szCs w:val="24"/>
        </w:rPr>
      </w:pPr>
    </w:p>
    <w:p w:rsidR="00433185" w:rsidRDefault="00FF5866">
      <w:pPr>
        <w:spacing w:line="100" w:lineRule="atLeast"/>
        <w:ind w:firstLine="552"/>
        <w:jc w:val="both"/>
        <w:rPr>
          <w:sz w:val="24"/>
          <w:szCs w:val="24"/>
        </w:rPr>
      </w:pPr>
      <w:r>
        <w:rPr>
          <w:sz w:val="24"/>
          <w:szCs w:val="24"/>
        </w:rPr>
        <w:t>1. 1. Внести в муниципальную Программу комплексного развития систем коммунальной инфраструктуры Пильнинского муниципального района на 2014-2022 годы, утвержденную постановлением администраци</w:t>
      </w:r>
      <w:r>
        <w:rPr>
          <w:sz w:val="24"/>
          <w:szCs w:val="24"/>
        </w:rPr>
        <w:t>и Пильнинского муниципального района от 26.03.2014 № 233, следующие изменения:</w:t>
      </w:r>
    </w:p>
    <w:p w:rsidR="00433185" w:rsidRDefault="00FF5866">
      <w:pPr>
        <w:spacing w:line="100" w:lineRule="atLeast"/>
        <w:ind w:firstLine="552"/>
        <w:jc w:val="both"/>
        <w:rPr>
          <w:sz w:val="24"/>
          <w:szCs w:val="24"/>
        </w:rPr>
      </w:pPr>
      <w:r>
        <w:rPr>
          <w:sz w:val="24"/>
          <w:szCs w:val="24"/>
        </w:rPr>
        <w:t>1.1. Наименование программы изложить в следующей редакции «Муниципальная Программа комплексного развития систем коммунальной инфраструктуры Пильнинского муниципального района на</w:t>
      </w:r>
      <w:r>
        <w:rPr>
          <w:sz w:val="24"/>
          <w:szCs w:val="24"/>
        </w:rPr>
        <w:t xml:space="preserve"> 2014-2023 годы»;</w:t>
      </w:r>
    </w:p>
    <w:p w:rsidR="00433185" w:rsidRDefault="00FF5866">
      <w:pPr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Изложить муниципальную Программу комплексного развития систем коммунальной инфраструктуры Пильнинского муниципального района на 2014-2023 годы  в новой редакции, согласно приложению. </w:t>
      </w:r>
    </w:p>
    <w:p w:rsidR="00433185" w:rsidRDefault="00FF5866">
      <w:pPr>
        <w:widowControl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Общему отделу Управления по орга</w:t>
      </w:r>
      <w:r>
        <w:rPr>
          <w:sz w:val="24"/>
          <w:szCs w:val="24"/>
        </w:rPr>
        <w:t>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района Пильнинского муниципального района.</w:t>
      </w:r>
    </w:p>
    <w:p w:rsidR="00433185" w:rsidRDefault="00FF5866">
      <w:pPr>
        <w:widowControl w:val="0"/>
        <w:spacing w:line="10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Контроль за исполнением настоящего постановления возложить на заместителя главы администрации района Д.Н.Цапина.</w:t>
      </w:r>
    </w:p>
    <w:p w:rsidR="00433185" w:rsidRDefault="00433185">
      <w:pPr>
        <w:widowControl w:val="0"/>
        <w:spacing w:line="100" w:lineRule="atLeast"/>
        <w:ind w:firstLine="567"/>
        <w:jc w:val="both"/>
        <w:rPr>
          <w:sz w:val="24"/>
          <w:szCs w:val="24"/>
        </w:rPr>
      </w:pPr>
    </w:p>
    <w:p w:rsidR="00433185" w:rsidRDefault="00433185">
      <w:pPr>
        <w:spacing w:line="100" w:lineRule="atLeast"/>
        <w:ind w:firstLine="567"/>
        <w:jc w:val="both"/>
        <w:rPr>
          <w:sz w:val="24"/>
          <w:szCs w:val="24"/>
        </w:rPr>
      </w:pPr>
    </w:p>
    <w:p w:rsidR="00433185" w:rsidRDefault="00433185">
      <w:pPr>
        <w:spacing w:line="100" w:lineRule="atLeast"/>
        <w:ind w:firstLine="567"/>
        <w:jc w:val="both"/>
        <w:rPr>
          <w:sz w:val="24"/>
          <w:szCs w:val="24"/>
        </w:rPr>
      </w:pPr>
    </w:p>
    <w:p w:rsidR="00433185" w:rsidRDefault="00FF5866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местного самоуправления </w:t>
      </w:r>
    </w:p>
    <w:p w:rsidR="00433185" w:rsidRDefault="00FF5866">
      <w:pPr>
        <w:spacing w:line="100" w:lineRule="atLeast"/>
        <w:jc w:val="both"/>
      </w:pPr>
      <w:r>
        <w:rPr>
          <w:sz w:val="24"/>
          <w:szCs w:val="24"/>
        </w:rPr>
        <w:t>Пильнинского 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С.А. Бочканов</w:t>
      </w:r>
    </w:p>
    <w:p w:rsidR="00433185" w:rsidRDefault="00FF5866">
      <w:pPr>
        <w:pageBreakBefore/>
        <w:spacing w:line="100" w:lineRule="atLeast"/>
        <w:ind w:firstLine="552"/>
        <w:jc w:val="right"/>
      </w:pPr>
      <w:r>
        <w:lastRenderedPageBreak/>
        <w:t>Приложени</w:t>
      </w:r>
      <w:r>
        <w:t>е</w:t>
      </w:r>
    </w:p>
    <w:p w:rsidR="00433185" w:rsidRDefault="00FF5866">
      <w:pPr>
        <w:spacing w:line="100" w:lineRule="atLeast"/>
        <w:ind w:firstLine="552"/>
        <w:jc w:val="right"/>
      </w:pPr>
      <w:r>
        <w:t>к постановлению администрации</w:t>
      </w:r>
    </w:p>
    <w:p w:rsidR="00433185" w:rsidRDefault="00FF5866">
      <w:pPr>
        <w:spacing w:line="100" w:lineRule="atLeast"/>
        <w:ind w:firstLine="552"/>
        <w:jc w:val="right"/>
      </w:pPr>
      <w:r>
        <w:t>Пильнинского муниципального района</w:t>
      </w:r>
    </w:p>
    <w:p w:rsidR="00433185" w:rsidRDefault="00FF5866">
      <w:pPr>
        <w:spacing w:line="100" w:lineRule="atLeast"/>
        <w:jc w:val="right"/>
      </w:pPr>
      <w:r>
        <w:t>Нижегородской области</w:t>
      </w:r>
    </w:p>
    <w:p w:rsidR="00433185" w:rsidRDefault="008F2C62">
      <w:pPr>
        <w:spacing w:line="100" w:lineRule="atLeast"/>
        <w:jc w:val="right"/>
      </w:pPr>
      <w:r>
        <w:t>от «  12» января 2021 года №  05</w:t>
      </w:r>
    </w:p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  <w:rPr>
          <w:b/>
        </w:rPr>
      </w:pPr>
    </w:p>
    <w:p w:rsidR="00433185" w:rsidRDefault="00FF5866">
      <w:pPr>
        <w:jc w:val="center"/>
        <w:rPr>
          <w:b/>
        </w:rPr>
      </w:pPr>
      <w:r>
        <w:rPr>
          <w:b/>
        </w:rPr>
        <w:t>МУНИЦИПАЛЬНАЯ ПРОГРАММА</w:t>
      </w:r>
    </w:p>
    <w:p w:rsidR="00433185" w:rsidRDefault="00FF5866">
      <w:pPr>
        <w:jc w:val="center"/>
        <w:rPr>
          <w:b/>
        </w:rPr>
      </w:pPr>
      <w:r>
        <w:rPr>
          <w:b/>
        </w:rPr>
        <w:t xml:space="preserve">КОМПЛЕКСНОГО РАЗВИТИЯ СИСТЕМ </w:t>
      </w:r>
    </w:p>
    <w:p w:rsidR="00433185" w:rsidRDefault="00FF5866">
      <w:pPr>
        <w:jc w:val="center"/>
        <w:rPr>
          <w:b/>
        </w:rPr>
      </w:pPr>
      <w:r>
        <w:rPr>
          <w:b/>
        </w:rPr>
        <w:t xml:space="preserve">КОММУНАЛЬНОЙ ИНФРАСТРУКТУРЫ </w:t>
      </w:r>
    </w:p>
    <w:p w:rsidR="00433185" w:rsidRDefault="00FF5866">
      <w:pPr>
        <w:jc w:val="center"/>
        <w:rPr>
          <w:b/>
        </w:rPr>
      </w:pPr>
      <w:r>
        <w:rPr>
          <w:b/>
        </w:rPr>
        <w:t xml:space="preserve">ПИЛЬНИНСКОГО МУНИЦИПАЛЬНОГО РАЙОНА </w:t>
      </w:r>
    </w:p>
    <w:p w:rsidR="00433185" w:rsidRDefault="00FF5866">
      <w:pPr>
        <w:jc w:val="center"/>
        <w:rPr>
          <w:b/>
        </w:rPr>
      </w:pPr>
      <w:r>
        <w:rPr>
          <w:b/>
        </w:rPr>
        <w:t>НА 2014-2023 ГОДЫ</w:t>
      </w:r>
    </w:p>
    <w:p w:rsidR="00433185" w:rsidRDefault="00433185">
      <w:pPr>
        <w:jc w:val="center"/>
        <w:rPr>
          <w:b/>
        </w:rPr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433185">
      <w:pPr>
        <w:jc w:val="center"/>
      </w:pPr>
    </w:p>
    <w:p w:rsidR="00433185" w:rsidRDefault="00FF5866">
      <w:pPr>
        <w:pageBreakBefore/>
        <w:jc w:val="center"/>
      </w:pPr>
      <w:r>
        <w:lastRenderedPageBreak/>
        <w:t>ПАСПОРТ</w:t>
      </w:r>
    </w:p>
    <w:p w:rsidR="00433185" w:rsidRDefault="00FF5866">
      <w:pPr>
        <w:jc w:val="center"/>
      </w:pPr>
      <w:r>
        <w:t>муниципальной программы комплексного развития систем коммунальной инфраструктуры</w:t>
      </w:r>
    </w:p>
    <w:p w:rsidR="00433185" w:rsidRDefault="00FF5866">
      <w:pPr>
        <w:jc w:val="center"/>
      </w:pPr>
      <w:r>
        <w:t xml:space="preserve">Пильнинского муниципального района на 2014-2023 годы </w:t>
      </w:r>
    </w:p>
    <w:p w:rsidR="00433185" w:rsidRDefault="00433185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8421"/>
      </w:tblGrid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Наименование Программы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</w:pPr>
            <w:r>
              <w:rPr>
                <w:szCs w:val="20"/>
              </w:rPr>
              <w:t>Муниципальная программа Комплексного развития систем коммунальной инфраструктуры Пильнинского муниципального района на 2014-2023 годы (далее - Программа)</w:t>
            </w: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Основание для разработки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- Постановление Правительства РФ от 14.06.2013 № 502 «Об утвержде</w:t>
            </w:r>
            <w:r>
              <w:rPr>
                <w:szCs w:val="20"/>
              </w:rPr>
              <w:t>нии требований к программам комплексного развития коммунальной инфраструктуры поселений, городских округов»;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- Приказ Госстроя от 01.10.2013 № 359/ГС «Об утверждении методических рекомендаций по разработке программ комплексного развития систем коммунально</w:t>
            </w:r>
            <w:r>
              <w:rPr>
                <w:szCs w:val="20"/>
              </w:rPr>
              <w:t xml:space="preserve">й инфраструктуры поселений, городских округов» 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Муниципальный заказчик - координатор Программы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</w:pPr>
            <w:r>
              <w:rPr>
                <w:szCs w:val="20"/>
              </w:rPr>
              <w:t xml:space="preserve">Управление строительства, ЖКХ, транспорта и градостроительной деятельности администрации Пильнинского муниципального района </w:t>
            </w: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Соисполнители мероприятий Програ</w:t>
            </w:r>
            <w:r>
              <w:rPr>
                <w:szCs w:val="20"/>
              </w:rPr>
              <w:t>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Все структурные подразделения Администрации района, администрация городского поселения р.п. Пильна, администрации сельских сельсоветов, организации коммунального комплекса при условии их участия в реализации Программы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Цели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Обеспечение развития систем и объектов коммунальной инфраструктуры в соответствии с потребностями жилищного строительства, повышение качества оказываемых потребителям коммунальных услуг, улучшение экологической ситуации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Задачи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Инженерно-техни</w:t>
            </w:r>
            <w:r>
              <w:rPr>
                <w:szCs w:val="20"/>
              </w:rPr>
              <w:t>ческая оптимизация коммунальных систем на территории Пильнинского муниципального района;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взаимосвязанное перспективное планирование развития коммунальных систем;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повышение надежности систем и качества предоставляемых коммунальных услуг;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обеспечение п</w:t>
            </w:r>
            <w:r>
              <w:rPr>
                <w:szCs w:val="20"/>
              </w:rPr>
              <w:t>роцессов энергосбережения и повышение энергоэффективности коммунальной инфраструктуры;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повышение инвестиционной привлекательности коммунальной инфраструктуры;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обеспечение сбалансированности интересов субъектов коммунальной инфраструктуры и потребителей</w:t>
            </w:r>
            <w:r>
              <w:rPr>
                <w:szCs w:val="20"/>
              </w:rPr>
              <w:t xml:space="preserve"> Пильнинского муниципального района.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Сроки реализации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2014-2023 годы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реализуется в один этап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Нормативно-правовая база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 Федеральный закон от 06.10.20003 г. № 131-ФЗ «Об общих принципах организации местного самоуправления в Российской Федерации»;</w:t>
            </w:r>
          </w:p>
          <w:p w:rsidR="00433185" w:rsidRDefault="00FF5866">
            <w:pPr>
              <w:ind w:hanging="115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- Постановление Правительства РФ от 14.06.2013 № 502 «Об утверждении требований к программам комплексного развития коммунальной</w:t>
            </w:r>
            <w:r>
              <w:rPr>
                <w:szCs w:val="20"/>
              </w:rPr>
              <w:t xml:space="preserve"> инфраструктуры поселений, городских округов»;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 Федеральный закон от 21.07.2007 г. № 185-ФЗ «О Фонде содействия реформированию жилищно-коммунального хозяйства (далее ФЗ-185);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- Устав Пильнинского муниципального района.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Объемы и источники финансирования </w:t>
            </w:r>
            <w:r>
              <w:rPr>
                <w:szCs w:val="20"/>
              </w:rPr>
              <w:t>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Общий объем финансирования Программы составляет 304797,4 тыс. руб., в том числе: федеральный бюджет – 69754,3 тыс. руб., областной бюджет – 132798,7 тыс. руб., районный бюджет – 100727,6 тыс. руб., внебюджетные источники – 1516,8 тыс. руб., в том</w:t>
            </w:r>
            <w:r>
              <w:rPr>
                <w:szCs w:val="20"/>
              </w:rPr>
              <w:t xml:space="preserve"> числе по годам: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●2016 год – 42 240,4 тыс. руб., в том числе: федеральный бюджет – 5000,0 тыс. руб., областной бюджет –28 524,3 тыс. руб., районный бюджет – 8 716,1 тыс. руб.; 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●2017 год – 5130,9 тыс. руб., в том числе: районный бюджет – 5130,9 тыс. руб.;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●2018 год – 23 655,2 тыс. руб., в том числе: федеральный бюджет – 2 720,7 тыс. руб., областной бюджет –13 639,4 тыс. руб., районный бюджет – 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7 245,1 тыс. руб., средства бюджетов поселений-50,0 тыс. руб.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●2019 год – 61 130,0 тыс. руб., в том числе: федеральный бюджет – 9 123,8 тыс. руб., областной бюджет – 35 374,5 тыс. руб., районный бюджет – 15 672,6 тыс. руб.; средства бюджетов поселений – 959,1 тыс. руб.; 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●2020 год – 106058,0 тыс. руб., в том числе: ф</w:t>
            </w:r>
            <w:r>
              <w:rPr>
                <w:szCs w:val="20"/>
              </w:rPr>
              <w:t>едеральный бюджет – 38804,2 тыс. руб.; областной бюджет – 54672,8 тыс. руб., районный бюджет – 12073,3 тыс. руб., средства бюджетов поселений – 507,7 тыс.руб.;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●2021 год – 16016,4 тыс. руб., в том числе: федеральный бюджет – 5127,8 тыс.руб., областной бюдж</w:t>
            </w:r>
            <w:r>
              <w:rPr>
                <w:szCs w:val="20"/>
              </w:rPr>
              <w:t>ет – 213,7 тыс. руб., районный бюджет – 10674,9 тыс. руб.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●2022 год – 21152,4 тыс. руб., в том числе: федеральный бюджет – 4488,9 тыс.руб., областной бюджет – 187,0 тыс. руб., районный бюджет – 16476,5 тыс. руб.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●2023 год – 29414,1 тыс. руб., в том числе: </w:t>
            </w:r>
            <w:r>
              <w:rPr>
                <w:szCs w:val="20"/>
              </w:rPr>
              <w:t>федеральный бюджет – 4488,9 тыс.руб., областной бюджет – 187,0 тыс. руб., районный бюджет – 24738,2 тыс. руб.</w:t>
            </w: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Индикаторы и непосредственные результаты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1.Уровень газификации природным газом жилого фонда Пильнинского района: 2016 г. – 65,3%; 2017 г. – 66,8 %; 2018 г. – 67,2%; 2019 г. – 67,7%; 2020 г.-68,5%; 2021 г. – 69,3%; 2022 г. – 70%, 2023 г.- 70,7%.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1.1.Непосредственный результат: газифицировано жилог</w:t>
            </w:r>
            <w:r>
              <w:rPr>
                <w:szCs w:val="20"/>
              </w:rPr>
              <w:t>о фонда в Пильнинском районе: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2016 г. – 90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2017 г. – 80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2018 г. – 80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2019 г. – 96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2020 г. – 115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2021 г. –  80 жилых помещений;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2022 г. – 80 жилых помещений.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2023 г. - 80 ж</w:t>
            </w:r>
            <w:r>
              <w:rPr>
                <w:szCs w:val="20"/>
              </w:rPr>
              <w:t>илых помещений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1.2. Расселен аварийный жилой дом — 1.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2.Уровень восстановленных и отремонтированных памятных мест, посвященных ВОВ 1941-1945 гг.: 2020 г. – 100%.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2.1.Непосредственный результат: восстановлены и отремонтированы памятные места, посвященные ВО</w:t>
            </w:r>
            <w:r>
              <w:rPr>
                <w:szCs w:val="20"/>
              </w:rPr>
              <w:t>В 1941-1945 гг.: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2020 г. – 33 памятных места, посвященных ВОВ 1941-1945 гг.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2.2. Расселен один аварийный жилой дом 100%.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  <w:tr w:rsidR="00433185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Система организации контроля за исполнением Программы</w:t>
            </w:r>
          </w:p>
        </w:tc>
        <w:tc>
          <w:tcPr>
            <w:tcW w:w="8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Программа реализуется на всей территории Пильнинского муниципального района.К</w:t>
            </w:r>
            <w:r>
              <w:rPr>
                <w:szCs w:val="20"/>
              </w:rPr>
              <w:t>оординатором Программы является Управление строительства, ЖКХ, транспорта и градостроительной деятельности администрации Пильнинского муниципального района. Для оценки эффективности реализации Программы администрацией Пильнинского муниципального района про</w:t>
            </w:r>
            <w:r>
              <w:rPr>
                <w:szCs w:val="20"/>
              </w:rPr>
              <w:t>водится ежегодный мониторинг выполнения экономических и иных показателей производственных и инвестиционных программ организаций коммунального комплекса.</w:t>
            </w:r>
          </w:p>
          <w:p w:rsidR="00433185" w:rsidRDefault="00FF586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Контроль за исполнением Программы осуществляют в пределах своих полномочий администрации Пильнинского м</w:t>
            </w:r>
            <w:r>
              <w:rPr>
                <w:szCs w:val="20"/>
              </w:rPr>
              <w:t>униципального района, городского поселения «р.п. Пильна», сельсоветов сельских поселений.</w:t>
            </w:r>
          </w:p>
          <w:p w:rsidR="00433185" w:rsidRDefault="00433185">
            <w:pPr>
              <w:jc w:val="both"/>
              <w:rPr>
                <w:szCs w:val="20"/>
              </w:rPr>
            </w:pPr>
          </w:p>
        </w:tc>
      </w:tr>
    </w:tbl>
    <w:p w:rsidR="00433185" w:rsidRDefault="00FF5866">
      <w:pPr>
        <w:pageBreakBefore/>
        <w:jc w:val="center"/>
      </w:pPr>
      <w:r>
        <w:rPr>
          <w:b/>
        </w:rPr>
        <w:lastRenderedPageBreak/>
        <w:t>1. Содержание проблемы</w:t>
      </w:r>
    </w:p>
    <w:p w:rsidR="00433185" w:rsidRDefault="00433185">
      <w:pPr>
        <w:ind w:firstLine="720"/>
        <w:jc w:val="center"/>
      </w:pPr>
    </w:p>
    <w:p w:rsidR="00433185" w:rsidRDefault="00FF5866">
      <w:pPr>
        <w:ind w:firstLine="567"/>
        <w:jc w:val="both"/>
      </w:pPr>
      <w:r>
        <w:t>Жилищно-коммунальный комплекс Пильнинского муниципального района характеризуется неэффективной системой управления, дотационностью сферы и н</w:t>
      </w:r>
      <w:r>
        <w:t>еудовлетворительным финансовым положением, высокими затратами, отсутствием экономических стимулов снижения издержек, связанных с оказанием жилищных и коммунальных услуг, неразвитостью конкурентной среды и, как следствие, высокой степенью износа основных фо</w:t>
      </w:r>
      <w:r>
        <w:t>ндов, неэффективной работой предприятий, большими потерями энергоресурсов.</w:t>
      </w:r>
    </w:p>
    <w:p w:rsidR="00433185" w:rsidRDefault="00FF5866">
      <w:pPr>
        <w:ind w:firstLine="567"/>
        <w:jc w:val="both"/>
      </w:pPr>
      <w:r>
        <w:t>Техническое состояние коммунальной инфраструктуры Пильнинского муниципального района морально и физически устарело. Существующие сети, оборудование, сооружения значительно изношены,</w:t>
      </w:r>
      <w:r>
        <w:t xml:space="preserve"> неэффективны и в основном не соответствуют требованиям гарантированного, устойчивого и экономически эффективного предоставления коммунальных услуг.</w:t>
      </w:r>
    </w:p>
    <w:p w:rsidR="00433185" w:rsidRDefault="00FF5866">
      <w:pPr>
        <w:ind w:firstLine="567"/>
        <w:jc w:val="both"/>
      </w:pPr>
      <w:r>
        <w:t>Работы по ремонту инженерных сетей и оборудования планируются исходя из наличия финансовых средств, а не из</w:t>
      </w:r>
      <w:r>
        <w:t xml:space="preserve"> расчетной годовой потребности в указанных работах, планово-предупредительный ремонт уступил место аварийно-восстановительным работам, затраты на которые в 2 - 3 раза выше. Поэтому остается не решенной проблема улучшения технического состояния водопроводны</w:t>
      </w:r>
      <w:r>
        <w:t>х и канализационных сетей, и как следствие, аварии и нарушения в режиме работы коммунального хозяйства. Отсутствуют положения, способствующие притоку инвестиций в энергосберегающие проекты, не задействованы методы экономического стимулирования производител</w:t>
      </w:r>
      <w:r>
        <w:t xml:space="preserve">ей и потребителей энергоресурсов. Отсутствуют централизованные источники финансирования энергосбережения. В целях ускорения перевода экономики муниципального образования на энергосберегающий путь развития, содействия превращению энергосбережения в один из </w:t>
      </w:r>
      <w:r>
        <w:t>решающих факторов улучшения социальных условий жизни населения, а также для обеспечения перехода к новой модели устойчивого функционирования жилищно-коммунального комплекса необходимо использование программно-целевого метода. Программа включает технические</w:t>
      </w:r>
      <w:r>
        <w:t xml:space="preserve"> мероприятия по восстановлению основных фондов и по реализации новых инженерно-технических решений, сокращение затрат при производстве и транспортировке энергоресурсов.</w:t>
      </w:r>
    </w:p>
    <w:p w:rsidR="00433185" w:rsidRDefault="00FF5866">
      <w:pPr>
        <w:ind w:firstLine="567"/>
        <w:jc w:val="both"/>
      </w:pPr>
      <w:r>
        <w:t>Приоритетными направлениями мероприятий подпрограммы являются:</w:t>
      </w:r>
    </w:p>
    <w:p w:rsidR="00433185" w:rsidRDefault="00FF5866">
      <w:pPr>
        <w:ind w:firstLine="567"/>
        <w:jc w:val="both"/>
      </w:pPr>
      <w:r>
        <w:t>- строительство газопров</w:t>
      </w:r>
      <w:r>
        <w:t>одов высокого и низкого давления в сельских населенных пунктах;</w:t>
      </w:r>
    </w:p>
    <w:p w:rsidR="00433185" w:rsidRDefault="00FF5866">
      <w:pPr>
        <w:ind w:firstLine="567"/>
        <w:jc w:val="both"/>
      </w:pPr>
      <w:r>
        <w:t>- модернизация и капитальный ремонт котлов;</w:t>
      </w:r>
    </w:p>
    <w:p w:rsidR="00433185" w:rsidRDefault="00FF5866">
      <w:pPr>
        <w:ind w:firstLine="567"/>
        <w:jc w:val="both"/>
      </w:pPr>
      <w:r>
        <w:t>- установка систем учета электрической энергии и воды;</w:t>
      </w:r>
    </w:p>
    <w:p w:rsidR="00433185" w:rsidRDefault="00FF5866">
      <w:pPr>
        <w:ind w:firstLine="567"/>
        <w:jc w:val="both"/>
      </w:pPr>
      <w:r>
        <w:t>- улучшение теплотехнических характеристик зданий, включая наружные ограждающие конструкции и</w:t>
      </w:r>
      <w:r>
        <w:t xml:space="preserve"> подвальные помещения, уплотнение оконных проемов.</w:t>
      </w:r>
    </w:p>
    <w:p w:rsidR="00433185" w:rsidRDefault="00FF5866">
      <w:pPr>
        <w:ind w:firstLine="567"/>
        <w:jc w:val="both"/>
      </w:pPr>
      <w:r>
        <w:t>Для обеспечения населения услугами в сфере жилищно-коммунального хозяйства, в районе функционируют основные предприятия:</w:t>
      </w:r>
    </w:p>
    <w:p w:rsidR="00433185" w:rsidRDefault="00FF5866">
      <w:pPr>
        <w:ind w:firstLine="567"/>
        <w:jc w:val="both"/>
      </w:pPr>
      <w:r>
        <w:t xml:space="preserve">- Муниципальное унитарное предприятие </w:t>
      </w:r>
      <w:r>
        <w:t>«Коммунальщик» обслуживает тепловые сети, водопроводные сети территорий сельсоветов для предоставления услуг теплоснабжения и холодного водоснабжения потребителям, а также осуществляет обслуживание и использование полигона хранения твердых бытовых отходов.</w:t>
      </w:r>
    </w:p>
    <w:p w:rsidR="00433185" w:rsidRDefault="00FF5866">
      <w:pPr>
        <w:ind w:firstLine="567"/>
        <w:jc w:val="both"/>
      </w:pPr>
      <w:r>
        <w:t>- Муниципальное унитарное предприятие «Городской жилфонд» оказывает услуги по содержанию и ремонту жилья, водоснабжению и водоотведению, вывозу твердых бытовых отходов осуществляет функции управляющей компании многоквартирными жилыми домами, обслуживает о</w:t>
      </w:r>
      <w:r>
        <w:t>чистные сооружения.</w:t>
      </w:r>
    </w:p>
    <w:p w:rsidR="00433185" w:rsidRDefault="00FF5866">
      <w:pPr>
        <w:ind w:firstLine="567"/>
        <w:jc w:val="both"/>
      </w:pPr>
      <w:r>
        <w:t>В настоящее время оба предприятия коммунального хозяйства испытывают острую потребность в инвестициях, которые необходимы для роста экономической активности, обновления основных фондов и внедрения прогрессивных технологий. Программа ком</w:t>
      </w:r>
      <w:r>
        <w:t>плексного развития систем коммунальной инфраструктуры Пильнинского муниципального района представляет собой увязанный по задачам, ресурсам и срокам осуществления перечень мероприятий, направленных на обеспечение функционирования и развития коммунальной инф</w:t>
      </w:r>
      <w:r>
        <w:t>раструктуры Пильнинского муниципального района. Основной задачей комплексного развития систем коммунальной инфраструктуры на период с 2014 до 2023 года является повышение надежности и качества функционирования существующих коммунальных систем и строительст</w:t>
      </w:r>
      <w:r>
        <w:t>во новых.</w:t>
      </w:r>
    </w:p>
    <w:p w:rsidR="00433185" w:rsidRDefault="00FF5866">
      <w:pPr>
        <w:ind w:firstLine="567"/>
        <w:jc w:val="both"/>
      </w:pPr>
      <w:r>
        <w:t>Данная программа - это оценка развития систем жизнеобеспечения муниципального образования на перспективу.</w:t>
      </w:r>
    </w:p>
    <w:p w:rsidR="00433185" w:rsidRDefault="00433185">
      <w:pPr>
        <w:ind w:firstLine="567"/>
        <w:jc w:val="both"/>
      </w:pPr>
    </w:p>
    <w:p w:rsidR="00433185" w:rsidRDefault="00FF5866">
      <w:pPr>
        <w:jc w:val="center"/>
      </w:pPr>
      <w:r>
        <w:rPr>
          <w:b/>
        </w:rPr>
        <w:t>2. Цель и задачи реализации Программы</w:t>
      </w:r>
    </w:p>
    <w:p w:rsidR="00433185" w:rsidRDefault="00433185">
      <w:pPr>
        <w:ind w:firstLine="567"/>
        <w:jc w:val="both"/>
      </w:pPr>
    </w:p>
    <w:p w:rsidR="00433185" w:rsidRDefault="00FF5866">
      <w:pPr>
        <w:ind w:firstLine="567"/>
        <w:jc w:val="both"/>
      </w:pPr>
      <w:r>
        <w:t>Основная цель программы - Комплексное развитие систем коммунальной инфраструктуры, реконструкция и м</w:t>
      </w:r>
      <w:r>
        <w:t>одернизация систем коммунальной инфраструктуры,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целом.</w:t>
      </w:r>
    </w:p>
    <w:p w:rsidR="00433185" w:rsidRDefault="00FF5866">
      <w:pPr>
        <w:ind w:firstLine="567"/>
        <w:jc w:val="both"/>
      </w:pPr>
      <w:r>
        <w:t>Для достижения названны</w:t>
      </w:r>
      <w:r>
        <w:t>х целей муниципальной программы предусматривается решение следующих задач:</w:t>
      </w:r>
    </w:p>
    <w:p w:rsidR="00433185" w:rsidRDefault="00FF5866">
      <w:pPr>
        <w:ind w:firstLine="567"/>
        <w:jc w:val="both"/>
      </w:pPr>
      <w:r>
        <w:t>- повышение надежности систем коммунальной инфраструктуры.</w:t>
      </w:r>
    </w:p>
    <w:p w:rsidR="00433185" w:rsidRDefault="00FF5866">
      <w:pPr>
        <w:ind w:firstLine="567"/>
        <w:jc w:val="both"/>
      </w:pPr>
      <w:r>
        <w:t>- обеспечение более комфортных условий проживания населения сельсовета.</w:t>
      </w:r>
    </w:p>
    <w:p w:rsidR="00433185" w:rsidRDefault="00FF5866">
      <w:pPr>
        <w:ind w:firstLine="567"/>
        <w:jc w:val="both"/>
      </w:pPr>
      <w:r>
        <w:t>- повышение качества предоставляемых жилищно-комму</w:t>
      </w:r>
      <w:r>
        <w:t>нальных услуг.</w:t>
      </w:r>
    </w:p>
    <w:p w:rsidR="00433185" w:rsidRDefault="00FF5866">
      <w:pPr>
        <w:ind w:firstLine="567"/>
        <w:jc w:val="both"/>
      </w:pPr>
      <w:r>
        <w:t>- снижение потребления энергетических ресурсов.</w:t>
      </w:r>
    </w:p>
    <w:p w:rsidR="00433185" w:rsidRDefault="00FF5866">
      <w:pPr>
        <w:ind w:firstLine="567"/>
        <w:jc w:val="both"/>
      </w:pPr>
      <w:r>
        <w:t>- снижение потерь при поставке ресурсов потребителям.</w:t>
      </w:r>
    </w:p>
    <w:p w:rsidR="00433185" w:rsidRDefault="00FF5866">
      <w:pPr>
        <w:ind w:firstLine="567"/>
        <w:jc w:val="both"/>
      </w:pPr>
      <w:r>
        <w:t>- улучшение экологической обстановки.</w:t>
      </w:r>
    </w:p>
    <w:p w:rsidR="00433185" w:rsidRDefault="00433185">
      <w:pPr>
        <w:ind w:firstLine="567"/>
        <w:jc w:val="center"/>
      </w:pPr>
    </w:p>
    <w:p w:rsidR="00433185" w:rsidRDefault="00FF5866">
      <w:pPr>
        <w:jc w:val="center"/>
      </w:pPr>
      <w:r>
        <w:rPr>
          <w:b/>
        </w:rPr>
        <w:t>3. Сроки реализации Программы</w:t>
      </w:r>
    </w:p>
    <w:p w:rsidR="00433185" w:rsidRDefault="00433185">
      <w:pPr>
        <w:ind w:firstLine="567"/>
        <w:jc w:val="both"/>
      </w:pPr>
    </w:p>
    <w:p w:rsidR="00433185" w:rsidRDefault="00FF5866">
      <w:pPr>
        <w:ind w:firstLine="567"/>
        <w:jc w:val="both"/>
      </w:pPr>
      <w:r>
        <w:t>Программа реализуется в период 2014-2023 годы и выполняется в один этап.</w:t>
      </w:r>
    </w:p>
    <w:p w:rsidR="00433185" w:rsidRDefault="00433185">
      <w:pPr>
        <w:ind w:firstLine="567"/>
        <w:jc w:val="both"/>
      </w:pPr>
    </w:p>
    <w:p w:rsidR="00433185" w:rsidRDefault="00FF5866">
      <w:pPr>
        <w:jc w:val="center"/>
      </w:pPr>
      <w:r>
        <w:rPr>
          <w:b/>
        </w:rPr>
        <w:t>4. Перечень основных мероприятий Программы.</w:t>
      </w:r>
    </w:p>
    <w:p w:rsidR="00433185" w:rsidRDefault="00433185">
      <w:pPr>
        <w:ind w:firstLine="567"/>
        <w:jc w:val="center"/>
      </w:pPr>
    </w:p>
    <w:p w:rsidR="00433185" w:rsidRDefault="00FF5866">
      <w:pPr>
        <w:ind w:firstLine="567"/>
        <w:sectPr w:rsidR="00433185">
          <w:pgSz w:w="11906" w:h="16838"/>
          <w:pgMar w:top="567" w:right="567" w:bottom="567" w:left="850" w:header="720" w:footer="720" w:gutter="0"/>
          <w:cols w:space="720"/>
          <w:docGrid w:linePitch="360"/>
        </w:sectPr>
      </w:pPr>
      <w:r>
        <w:t>Перечень основных мероприятий Программы представлен в таблицах 1-7.</w:t>
      </w:r>
    </w:p>
    <w:p w:rsidR="00433185" w:rsidRDefault="00FF5866">
      <w:pPr>
        <w:jc w:val="right"/>
        <w:rPr>
          <w:color w:val="000000"/>
        </w:rPr>
      </w:pPr>
      <w:r>
        <w:lastRenderedPageBreak/>
        <w:t>Таблица 1</w:t>
      </w:r>
    </w:p>
    <w:p w:rsidR="00433185" w:rsidRDefault="00433185">
      <w:pPr>
        <w:spacing w:line="100" w:lineRule="atLeast"/>
        <w:jc w:val="center"/>
        <w:rPr>
          <w:color w:val="000000"/>
        </w:rPr>
      </w:pPr>
    </w:p>
    <w:p w:rsidR="00433185" w:rsidRDefault="00FF5866">
      <w:pPr>
        <w:spacing w:line="100" w:lineRule="atLeast"/>
        <w:jc w:val="center"/>
        <w:rPr>
          <w:color w:val="000000"/>
        </w:rPr>
      </w:pPr>
      <w:r>
        <w:rPr>
          <w:color w:val="000000"/>
        </w:rPr>
        <w:t>Перечень мероприятий по строительству и ремонту систем водоснабжения</w:t>
      </w:r>
    </w:p>
    <w:p w:rsidR="00433185" w:rsidRDefault="00FF5866">
      <w:pPr>
        <w:spacing w:line="100" w:lineRule="atLeast"/>
        <w:jc w:val="center"/>
        <w:rPr>
          <w:color w:val="000000"/>
        </w:rPr>
      </w:pPr>
      <w:r>
        <w:rPr>
          <w:color w:val="000000"/>
        </w:rPr>
        <w:t>на 2016-2023 гг.</w:t>
      </w:r>
    </w:p>
    <w:p w:rsidR="00433185" w:rsidRDefault="00433185">
      <w:pPr>
        <w:spacing w:line="100" w:lineRule="atLeast"/>
        <w:jc w:val="center"/>
        <w:rPr>
          <w:color w:val="00000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"/>
        <w:gridCol w:w="3796"/>
        <w:gridCol w:w="711"/>
        <w:gridCol w:w="850"/>
        <w:gridCol w:w="1276"/>
        <w:gridCol w:w="989"/>
        <w:gridCol w:w="995"/>
        <w:gridCol w:w="994"/>
        <w:gridCol w:w="988"/>
        <w:gridCol w:w="1133"/>
        <w:gridCol w:w="1133"/>
        <w:gridCol w:w="1133"/>
        <w:gridCol w:w="1115"/>
      </w:tblGrid>
      <w:tr w:rsidR="00433185">
        <w:trPr>
          <w:cantSplit/>
        </w:trPr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№№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средств,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8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</w:tc>
      </w:tr>
      <w:tr w:rsidR="00433185">
        <w:trPr>
          <w:cantSplit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Электроснабжение водозабора (вторая линия) в д. Ясная Поляна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проектно-изыскательских работ по объекту "Реконструкция центрального водопровода от водозабора д. Алексеевка до ул. Колхозная р.п. Пильна"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Изготовление ПИРов по объекту "Строительство водопроводной станции 2-го подъема с установкой системы очистки воды в р.п. Пильна»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водопроводной станции 2-го подъема в р.п. Пильна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ind w:left="131" w:hanging="13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1 320,0</w:t>
            </w: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проектно-изыскательских работ по объекту «Реконструкция водопровода в с.Большое Андосово»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ind w:left="131" w:hanging="13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1 608,8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ind w:left="131" w:hanging="131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288,8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1 320,0</w:t>
            </w:r>
          </w:p>
        </w:tc>
      </w:tr>
    </w:tbl>
    <w:p w:rsidR="00433185" w:rsidRDefault="00433185">
      <w:pPr>
        <w:spacing w:line="100" w:lineRule="atLeast"/>
        <w:jc w:val="center"/>
        <w:rPr>
          <w:color w:val="000000"/>
        </w:rPr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FF5866">
      <w:pPr>
        <w:jc w:val="right"/>
        <w:rPr>
          <w:color w:val="000000"/>
        </w:rPr>
      </w:pPr>
      <w:r>
        <w:lastRenderedPageBreak/>
        <w:t>Таблица 2</w:t>
      </w:r>
    </w:p>
    <w:p w:rsidR="00433185" w:rsidRDefault="00FF5866">
      <w:pPr>
        <w:jc w:val="center"/>
        <w:rPr>
          <w:color w:val="000000"/>
        </w:rPr>
      </w:pPr>
      <w:r>
        <w:rPr>
          <w:color w:val="000000"/>
        </w:rPr>
        <w:t>Перечень мероприятий по ремонту систем водоотведения</w:t>
      </w:r>
    </w:p>
    <w:p w:rsidR="00433185" w:rsidRDefault="00FF5866">
      <w:pPr>
        <w:jc w:val="center"/>
        <w:rPr>
          <w:color w:val="000000"/>
        </w:rPr>
      </w:pPr>
      <w:r>
        <w:rPr>
          <w:color w:val="000000"/>
        </w:rPr>
        <w:t>на 2016-2023 гг.</w:t>
      </w:r>
    </w:p>
    <w:p w:rsidR="00433185" w:rsidRDefault="00433185">
      <w:pPr>
        <w:jc w:val="both"/>
        <w:rPr>
          <w:color w:val="000000"/>
        </w:rPr>
      </w:pPr>
    </w:p>
    <w:tbl>
      <w:tblPr>
        <w:tblW w:w="154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3276"/>
        <w:gridCol w:w="709"/>
        <w:gridCol w:w="764"/>
        <w:gridCol w:w="1295"/>
        <w:gridCol w:w="1059"/>
        <w:gridCol w:w="993"/>
        <w:gridCol w:w="992"/>
        <w:gridCol w:w="992"/>
        <w:gridCol w:w="1134"/>
        <w:gridCol w:w="1134"/>
        <w:gridCol w:w="1134"/>
        <w:gridCol w:w="1134"/>
      </w:tblGrid>
      <w:tr w:rsidR="00433185">
        <w:trPr>
          <w:cantSplit/>
        </w:trPr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№№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проектно-изыскательских работ по объекту «Канализационные сети р.п. Пильна»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3724,7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Осуществление технологического присоединения к электрическим сетям для электроснабжения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КНС-1, КНС-2, КНС-3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объекта «Канализационные сети р.п.П</w:t>
            </w:r>
            <w:r>
              <w:rPr>
                <w:color w:val="000000"/>
                <w:sz w:val="16"/>
                <w:szCs w:val="16"/>
              </w:rPr>
              <w:t>ильна Пильнинского района Нижегородской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наружных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сетей канализации к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объекту «Строительство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здания школы в р.п. Пильна на 500 мест»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Проведение государственной экспертизы проектной документации, включая проверку достоверности определения сметной стоимости, и результатов инженерных изысканий </w:t>
            </w:r>
            <w:r>
              <w:rPr>
                <w:bCs/>
                <w:sz w:val="16"/>
                <w:szCs w:val="16"/>
              </w:rPr>
              <w:t>по объекту «Канализационные сети р.п. Пильна Пильнинского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1 836,9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1 836,9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Переподключение наружных сетей канализации школы к объекту «Канализационные сети р.п.Пильна Пильнинского района Нижегородской области»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1 500,0</w:t>
            </w:r>
          </w:p>
        </w:tc>
      </w:tr>
      <w:tr w:rsidR="00433185"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9 078,9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2 607,3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2 971,6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1 500,0</w:t>
            </w:r>
          </w:p>
        </w:tc>
      </w:tr>
    </w:tbl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FF5866">
      <w:pPr>
        <w:jc w:val="right"/>
        <w:rPr>
          <w:color w:val="000000"/>
        </w:rPr>
      </w:pPr>
      <w:r>
        <w:rPr>
          <w:color w:val="000000"/>
        </w:rPr>
        <w:lastRenderedPageBreak/>
        <w:t>Таблица 3</w:t>
      </w:r>
    </w:p>
    <w:p w:rsidR="00433185" w:rsidRDefault="00FF5866">
      <w:pPr>
        <w:widowControl w:val="0"/>
        <w:spacing w:line="100" w:lineRule="atLeast"/>
        <w:jc w:val="center"/>
        <w:rPr>
          <w:color w:val="000000"/>
        </w:rPr>
      </w:pPr>
      <w:r>
        <w:rPr>
          <w:color w:val="000000"/>
        </w:rPr>
        <w:t>Перечень мероприятий по газификации населенных пунктов</w:t>
      </w:r>
    </w:p>
    <w:p w:rsidR="00433185" w:rsidRDefault="00FF5866">
      <w:pPr>
        <w:widowControl w:val="0"/>
        <w:spacing w:line="100" w:lineRule="atLeast"/>
        <w:jc w:val="center"/>
        <w:rPr>
          <w:color w:val="000000"/>
        </w:rPr>
      </w:pPr>
      <w:r>
        <w:rPr>
          <w:color w:val="000000"/>
        </w:rPr>
        <w:t>Пильнинского муниципального района на 2017 - 2023 гг.</w:t>
      </w:r>
    </w:p>
    <w:p w:rsidR="00433185" w:rsidRDefault="00433185">
      <w:pPr>
        <w:spacing w:line="100" w:lineRule="atLeast"/>
        <w:jc w:val="center"/>
        <w:rPr>
          <w:color w:val="000000"/>
        </w:rPr>
      </w:pPr>
    </w:p>
    <w:tbl>
      <w:tblPr>
        <w:tblW w:w="15451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0"/>
        <w:gridCol w:w="3713"/>
        <w:gridCol w:w="544"/>
        <w:gridCol w:w="600"/>
        <w:gridCol w:w="1639"/>
        <w:gridCol w:w="992"/>
        <w:gridCol w:w="993"/>
        <w:gridCol w:w="992"/>
        <w:gridCol w:w="992"/>
        <w:gridCol w:w="1134"/>
        <w:gridCol w:w="1134"/>
        <w:gridCol w:w="1134"/>
        <w:gridCol w:w="1134"/>
      </w:tblGrid>
      <w:tr w:rsidR="00433185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средств, тыс. руб.</w:t>
            </w:r>
          </w:p>
        </w:tc>
        <w:tc>
          <w:tcPr>
            <w:tcW w:w="8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Межпоселковый газопровод высокого давления с. Романовка - с.Мамешево Распределительные газопроводы низкого давления с. Мамешево.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38 709,6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38709,6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ind w:left="-1112" w:firstLine="111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ind w:left="-1112" w:firstLine="111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котельной на здание администрации района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д. Ясная Поляна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6 518,8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6 224,4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Проектирование и строительство котельной для здания МУП «Коммунальщик»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1 323,8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Строительство котельной и теплотрассы на здание администрации района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1 802,8</w:t>
            </w:r>
          </w:p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Обеспечение теплоснабжением здания администрации района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Подготовка пректно-сметной</w:t>
            </w:r>
            <w:r>
              <w:rPr>
                <w:color w:val="000000"/>
                <w:sz w:val="16"/>
                <w:szCs w:val="16"/>
              </w:rPr>
              <w:t xml:space="preserve"> документации на котельную для отопления дома культуры в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Реконструкция котельной (замена котлов) в котельной школы в с. Озерки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Врезка и пуск газа на объект «Установка котлов наружного размещения для отопления административного здания МУП «Коммунальщик»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Межпоселковый газопровод высокого давления от с. Мамешево до с. Юморга и газопровод низкого давления по</w:t>
            </w:r>
            <w:r>
              <w:rPr>
                <w:color w:val="000000"/>
                <w:sz w:val="16"/>
                <w:szCs w:val="16"/>
              </w:rPr>
              <w:t xml:space="preserve"> с. Юморга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34 111,6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14 667,8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19443,8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Распределительные газопроводы высокого и низкого давления с. Бакшадино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7 454,2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Тенекаево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3 357,8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1 357,8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Распределительные газопроводы высокого, среднего и низкого давления и газопроводы-вводы к жилым домам </w:t>
            </w:r>
            <w:r>
              <w:rPr>
                <w:color w:val="000000"/>
                <w:sz w:val="16"/>
                <w:szCs w:val="16"/>
              </w:rPr>
              <w:t>в с. Кисленка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8 795,7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8 795,7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Подготовка ПСД на реконструкцию котельной школы в с. Озерки и замена котлов с проведением пуско-наладочных работ и технического надзора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408,2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Ремонт газопровода в д. Ягодное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Авторский надзор за строительством объекта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Строительный контроль (технический надзор) за строительством объекта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с газопроводами – вводами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Пуско-наладочные работы по пуску и врезке газа на объекте «Межпоселковый газопровод высокого давления II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Работы по проверке выполнения условий подключения подземного полиэтиленового газопровода и ГРП по объекту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с газопроводами – вводами по с. Юмо</w:t>
            </w:r>
            <w:r>
              <w:rPr>
                <w:color w:val="000000"/>
                <w:sz w:val="16"/>
                <w:szCs w:val="16"/>
              </w:rPr>
              <w:t>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Изготовление схемы разграничения имущественной и эксплуатационной ответственности на объект «Межпоселковый газопровод высокого давления </w:t>
            </w:r>
            <w:r>
              <w:rPr>
                <w:color w:val="000000"/>
                <w:sz w:val="16"/>
                <w:szCs w:val="16"/>
                <w:lang w:val="en-US"/>
              </w:rPr>
              <w:t>II</w:t>
            </w:r>
            <w:r>
              <w:rPr>
                <w:color w:val="000000"/>
                <w:sz w:val="16"/>
                <w:szCs w:val="16"/>
              </w:rPr>
              <w:t xml:space="preserve"> категории от с. Мамешево до с. Юморга и газопровод низкого давления по с. Юморга»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 и низкого давления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за строительством объекта «Распределительные газопроводы высокого и низкого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низкого давления и газопроводы – вводы к жилым домам с. 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за строительством объекта «Распределительные газопроводы низкого давления и газопроводы – вводы к жилым домам с. 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Пуско-наладочные работы по газопроводам, проверке выполнения условий подключения , подготовка акта и схемы разграничения эксплуатационной ответственности и акта схемы имущественной принадлежности газораспределительной системы и </w:t>
            </w:r>
            <w:r>
              <w:rPr>
                <w:color w:val="000000"/>
                <w:sz w:val="16"/>
                <w:szCs w:val="16"/>
              </w:rPr>
              <w:lastRenderedPageBreak/>
              <w:t>газоиспользующего оборудован</w:t>
            </w:r>
            <w:r>
              <w:rPr>
                <w:color w:val="000000"/>
                <w:sz w:val="16"/>
                <w:szCs w:val="16"/>
              </w:rPr>
              <w:t>ия по объекту «Распределительные газопроводы высокого и низкого с. Бакшандино»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Пуско-наладочные работы по газопроводам, проверке выполнения условий подключения , подготовка акта и </w:t>
            </w:r>
            <w:r>
              <w:rPr>
                <w:color w:val="000000"/>
                <w:sz w:val="16"/>
                <w:szCs w:val="16"/>
              </w:rPr>
              <w:t xml:space="preserve">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«Распределительные газопроводы низкого давления и газопроводы – вводы к жилым домам с. </w:t>
            </w:r>
            <w:r>
              <w:rPr>
                <w:color w:val="000000"/>
                <w:sz w:val="16"/>
                <w:szCs w:val="16"/>
              </w:rPr>
              <w:t>Кисленка»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Пересогласование проектной документации на строительство газораспределительного газопровода на соответствие техническим условиям по объекту с. Мамешево, с. Юморга 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Княжиха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5 368,0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13 152,0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пос. Южный р.п. Пильна с изготовлением ПСД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Пересогласование проектной документации на строительство распределительного газопровода на соответствие техническим условиям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Выполнение теплотехнического расчета для проектирования газопровода высокого, среднего и низкого давления ул.пос.Южный и ул.Стройплощадка в р.п.Пильна с сопровождением документов по согласованиею с ПАО «Газпром газораспределение Нижний Новгород», ПАО «Газп</w:t>
            </w:r>
            <w:r>
              <w:rPr>
                <w:color w:val="000000"/>
                <w:sz w:val="16"/>
                <w:szCs w:val="16"/>
              </w:rPr>
              <w:t>ром межрегионгаз Нижний Новгород»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41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Авторский надзор по объекту «Распределительные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  <w:r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41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области»</w:t>
            </w:r>
            <w:r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Строительный контроль (технический надзор) по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</w:t>
            </w:r>
            <w:r>
              <w:rPr>
                <w:color w:val="000000"/>
                <w:sz w:val="16"/>
                <w:szCs w:val="16"/>
              </w:rPr>
              <w:t xml:space="preserve"> – наладочные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</w:t>
            </w:r>
            <w:r>
              <w:rPr>
                <w:color w:val="000000"/>
                <w:sz w:val="16"/>
                <w:szCs w:val="16"/>
              </w:rPr>
              <w:t>о объекту «Распределительные газопроводы высокого, среднего и низкого давления и газопроводы-вводы к жилым домам в д. Ясная Поляна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 – наладочные</w:t>
            </w:r>
            <w:r>
              <w:rPr>
                <w:color w:val="000000"/>
                <w:sz w:val="16"/>
                <w:szCs w:val="16"/>
              </w:rPr>
              <w:t xml:space="preserve">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</w:t>
            </w:r>
            <w:r>
              <w:rPr>
                <w:color w:val="000000"/>
                <w:sz w:val="16"/>
                <w:szCs w:val="16"/>
              </w:rPr>
              <w:t>спределительные газопроводы высокого и низкого давления с. Княжиха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Пуско – наладочные</w:t>
            </w:r>
            <w:r>
              <w:rPr>
                <w:color w:val="000000"/>
                <w:sz w:val="16"/>
                <w:szCs w:val="16"/>
              </w:rPr>
              <w:t xml:space="preserve"> работы по газопроводам, проверка выполнения условий подключения, подготовка акта и схемы разграничения эксплуатационной ответственности и акта схемы имущественной принадлежности газораспределительной системы и газоиспользующего оборудования по объекту «Ра</w:t>
            </w:r>
            <w:r>
              <w:rPr>
                <w:color w:val="000000"/>
                <w:sz w:val="16"/>
                <w:szCs w:val="16"/>
              </w:rPr>
              <w:t>спределительные газопроводы высокого, среднего и низкого давления и газопроводы-вводы к жилым домам в с. Тенекаево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госэкспертизы по объекту «Строительство распределительного газопровода и газопроводов -вводов в с. Жданово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низкого давления и газопроводы-вводы к жилым домам в с. Тенекаево Пильнинского района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газопроводы-вводы к жилым домам в с. Княжиха Пильнинского района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Проверка выполнения условий подключения в части проверки проектной документации на соответствие ее выданным техническим условиям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Распределительные газопроводы высокого и низкого давления и газопроводы-вводы к жилым домам в д. Ясная Поляна Пильн</w:t>
            </w:r>
            <w:r>
              <w:rPr>
                <w:rFonts w:eastAsia="Calibri"/>
                <w:color w:val="000000"/>
                <w:sz w:val="16"/>
                <w:szCs w:val="16"/>
              </w:rPr>
              <w:t>инского района Нижегородской области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Распределительные газопроводы высокого, среднего и низкого давления и газопроводы - вводы в с. Жданово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5690,5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5 690,5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Газификация МОУ СОШ в</w:t>
            </w:r>
            <w:r>
              <w:rPr>
                <w:color w:val="000000"/>
                <w:sz w:val="16"/>
                <w:szCs w:val="16"/>
              </w:rPr>
              <w:t xml:space="preserve">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2 500,0</w:t>
            </w: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Газификация МБДОУ Детский сад в с. Курмыш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Выполнение работ по обрезке и заглушке надземного газопровода низкого давления котельной МУК «Пильнинский РКДЦ» по адресу: р.п.Пильна, ул. </w:t>
            </w:r>
            <w:r>
              <w:rPr>
                <w:bCs/>
                <w:color w:val="000000"/>
                <w:sz w:val="16"/>
                <w:szCs w:val="16"/>
              </w:rPr>
              <w:t>Тарлыкова, д. 8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проектной документации по объекту «Распределительные газопроводы высокого, среднего, низкого давления по ул. пос.Южный и ул. Стройплощадка в р.п.Пильна. Газопроводы – вводы к жилым домам»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госэкспертизы проектной документации по объекту «Распределительные газопроводы высокого, среднего, низкого давления по ул. пос.Южный и ул. Стройплощадка в р.п.Пильна. Газопроводы – вводы к жилым домам»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Вывод из эксплуатации котельной микрорайон Западный в р.п.Пильна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Вывод из эксплуатации котельной № 1 по адресу: р.п.Пильна, ул. Ленина, д. 69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Изготовление проектно-сметной документации на газификацию Дома культуры в с. Романовка и выполнение теплотехнического расчета на </w:t>
            </w:r>
            <w:r>
              <w:rPr>
                <w:sz w:val="16"/>
                <w:szCs w:val="16"/>
              </w:rPr>
              <w:lastRenderedPageBreak/>
              <w:t>котельную Дома культуры в с. Романовка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 госэкспертизы и проектно-изыскательских работ по объекту «Строительство распределительного газопровода и газопроводов -вводов в с. Жданово Пильнинского района Нижегородской области»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1 600,0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Подключение (технологическое присоединение) объекта капитального строительства Реконструируемая котельная школы к сети газораспределения по адресу: Нижегородская область, Пильнинский район, с.Курмыш, ул.Мартьянова, д.55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Подключение (технологическое присоединение) объекта капитального строительства Реконструируемая котельная дошкольной группы к сети газораспределения по адресу: Нижегородская область, Пильнинский район, с.Курмыш, ул.Юбилейная, д.16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Проектные работы по реконструкции котельной школы по адресу: Нижегородская область, Пильнинский район, с.Курмыш, ул.Мартьянова, д.55 и котельной дошкольной группы по адресу: Нижегородская область, Пильнинский район, с.Курмыш, ул.Юбилейная, д.16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Распределительные газопроводы высокого, среднего и низкого давления и газопроводы - вводы в д. Архангеловка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5 960,5</w:t>
            </w: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Распределительные газопроводы высокого, среднего и низкого давления и газопроводы - вводы в д. Лисья Поляна Пильнинского района Нижегородской области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5 960,5</w:t>
            </w: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tabs>
                <w:tab w:val="left" w:pos="3859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Газификация Дома культуры в с. Романовка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3 000,0</w:t>
            </w:r>
          </w:p>
        </w:tc>
      </w:tr>
      <w:tr w:rsidR="0043318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widowControl w:val="0"/>
              <w:spacing w:line="10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ИТОГО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158 858,8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42 240,4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16 678,9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42 505,8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23 026,9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5 551,7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10 690,5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widowControl w:val="0"/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17 421,0</w:t>
            </w:r>
          </w:p>
        </w:tc>
      </w:tr>
    </w:tbl>
    <w:p w:rsidR="00433185" w:rsidRDefault="00433185">
      <w:pPr>
        <w:jc w:val="both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FF5866">
      <w:pPr>
        <w:pageBreakBefore/>
        <w:jc w:val="right"/>
        <w:rPr>
          <w:color w:val="000000"/>
        </w:rPr>
      </w:pPr>
      <w:r>
        <w:rPr>
          <w:color w:val="000000"/>
        </w:rPr>
        <w:lastRenderedPageBreak/>
        <w:t xml:space="preserve">Таблица 5 </w:t>
      </w:r>
    </w:p>
    <w:p w:rsidR="00433185" w:rsidRDefault="00FF5866">
      <w:pPr>
        <w:spacing w:line="100" w:lineRule="atLeast"/>
        <w:jc w:val="center"/>
        <w:rPr>
          <w:color w:val="000000"/>
        </w:rPr>
      </w:pPr>
      <w:r>
        <w:rPr>
          <w:color w:val="000000"/>
        </w:rPr>
        <w:t>Мероприятия по проекту «Формирование современной городской среды»</w:t>
      </w:r>
    </w:p>
    <w:p w:rsidR="00433185" w:rsidRDefault="00433185">
      <w:pPr>
        <w:spacing w:line="100" w:lineRule="atLeast"/>
        <w:jc w:val="center"/>
        <w:rPr>
          <w:color w:val="00000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9"/>
        <w:gridCol w:w="3467"/>
        <w:gridCol w:w="3010"/>
        <w:gridCol w:w="1276"/>
        <w:gridCol w:w="1417"/>
        <w:gridCol w:w="1560"/>
        <w:gridCol w:w="1417"/>
        <w:gridCol w:w="1559"/>
        <w:gridCol w:w="1276"/>
      </w:tblGrid>
      <w:tr w:rsidR="00433185">
        <w:trPr>
          <w:cantSplit/>
          <w:tblHeader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Технические мероприятия</w:t>
            </w:r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Всего,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программы по годам</w:t>
            </w:r>
          </w:p>
        </w:tc>
      </w:tr>
      <w:tr w:rsidR="00433185">
        <w:trPr>
          <w:cantSplit/>
          <w:tblHeader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433185">
        <w:trPr>
          <w:tblHeader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Предоставление субсидии на поддержку муниципальной программы формирования современной городской среды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36 468,8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6 659,4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6 367,8</w:t>
            </w:r>
          </w:p>
        </w:tc>
      </w:tr>
      <w:tr w:rsidR="00433185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36 468,8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4 584,8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5 930,3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7302,1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6 659,3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6 367,8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6 367,8</w:t>
            </w:r>
          </w:p>
        </w:tc>
      </w:tr>
    </w:tbl>
    <w:p w:rsidR="00433185" w:rsidRDefault="00433185">
      <w:pPr>
        <w:jc w:val="right"/>
        <w:rPr>
          <w:color w:val="000000"/>
        </w:rPr>
      </w:pPr>
    </w:p>
    <w:p w:rsidR="00433185" w:rsidRDefault="00433185">
      <w:pPr>
        <w:jc w:val="right"/>
        <w:rPr>
          <w:color w:val="000000"/>
        </w:rPr>
      </w:pPr>
    </w:p>
    <w:p w:rsidR="00433185" w:rsidRDefault="00FF5866">
      <w:pPr>
        <w:jc w:val="right"/>
        <w:rPr>
          <w:color w:val="000000"/>
        </w:rPr>
      </w:pPr>
      <w:r>
        <w:rPr>
          <w:color w:val="000000"/>
        </w:rPr>
        <w:t>Таблица 6</w:t>
      </w:r>
    </w:p>
    <w:p w:rsidR="00433185" w:rsidRDefault="00433185">
      <w:pPr>
        <w:jc w:val="center"/>
        <w:rPr>
          <w:color w:val="000000"/>
        </w:rPr>
      </w:pPr>
    </w:p>
    <w:p w:rsidR="00433185" w:rsidRDefault="00FF5866">
      <w:pPr>
        <w:jc w:val="center"/>
        <w:rPr>
          <w:color w:val="000000"/>
        </w:rPr>
      </w:pPr>
      <w:r>
        <w:rPr>
          <w:color w:val="000000"/>
        </w:rPr>
        <w:t xml:space="preserve">Перечень мероприятий по техническому и аварийно-диспетчерскому обслуживанию </w:t>
      </w:r>
    </w:p>
    <w:p w:rsidR="00433185" w:rsidRDefault="00FF5866">
      <w:pPr>
        <w:jc w:val="center"/>
        <w:rPr>
          <w:color w:val="000000"/>
        </w:rPr>
      </w:pPr>
      <w:r>
        <w:rPr>
          <w:color w:val="000000"/>
        </w:rPr>
        <w:t>газопроводов и газового оборудования на 2016-2023 гг.</w:t>
      </w:r>
    </w:p>
    <w:p w:rsidR="00433185" w:rsidRDefault="00433185">
      <w:pPr>
        <w:jc w:val="both"/>
        <w:rPr>
          <w:color w:val="000000"/>
        </w:rPr>
      </w:pPr>
    </w:p>
    <w:tbl>
      <w:tblPr>
        <w:tblW w:w="154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023"/>
        <w:gridCol w:w="720"/>
        <w:gridCol w:w="863"/>
        <w:gridCol w:w="1295"/>
        <w:gridCol w:w="893"/>
        <w:gridCol w:w="1134"/>
        <w:gridCol w:w="1276"/>
        <w:gridCol w:w="1134"/>
        <w:gridCol w:w="1276"/>
        <w:gridCol w:w="992"/>
        <w:gridCol w:w="1134"/>
        <w:gridCol w:w="992"/>
      </w:tblGrid>
      <w:tr w:rsidR="00433185">
        <w:trPr>
          <w:cantSplit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№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ед.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изм.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кол-во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 средств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Реализация по годам</w:t>
            </w:r>
          </w:p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</w:p>
        </w:tc>
      </w:tr>
      <w:tr w:rsidR="0043318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Техническое и аварийно-диспетчерское обслуживание</w:t>
            </w:r>
          </w:p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газопроводов и газового оборудования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км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166,81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19 634,9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</w:tr>
      <w:tr w:rsidR="00433185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19 634,9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4 387,3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2 391,5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2 685,0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1 755,2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2 805,3</w:t>
            </w:r>
          </w:p>
        </w:tc>
      </w:tr>
    </w:tbl>
    <w:p w:rsidR="00433185" w:rsidRDefault="00433185">
      <w:pPr>
        <w:jc w:val="both"/>
        <w:rPr>
          <w:color w:val="000000"/>
        </w:rPr>
      </w:pPr>
    </w:p>
    <w:p w:rsidR="00433185" w:rsidRDefault="00433185">
      <w:pPr>
        <w:spacing w:line="100" w:lineRule="atLeast"/>
        <w:ind w:firstLine="552"/>
        <w:jc w:val="right"/>
        <w:rPr>
          <w:rFonts w:eastAsia="Arial"/>
          <w:color w:val="000000"/>
        </w:rPr>
      </w:pPr>
    </w:p>
    <w:p w:rsidR="00433185" w:rsidRDefault="00FF5866">
      <w:pPr>
        <w:pageBreakBefore/>
        <w:spacing w:line="100" w:lineRule="atLeast"/>
        <w:jc w:val="right"/>
      </w:pPr>
      <w:r>
        <w:lastRenderedPageBreak/>
        <w:t xml:space="preserve"> Таблица 7</w:t>
      </w:r>
    </w:p>
    <w:p w:rsidR="00433185" w:rsidRDefault="00433185">
      <w:pPr>
        <w:jc w:val="center"/>
      </w:pPr>
    </w:p>
    <w:p w:rsidR="00433185" w:rsidRDefault="00FF5866">
      <w:pPr>
        <w:jc w:val="center"/>
      </w:pPr>
      <w:r>
        <w:t>Перечень мероприятий по развитию улично-дорожной сети дорог и тротуаров общего пользования местного значения на 2019-2023 гг.</w:t>
      </w:r>
    </w:p>
    <w:p w:rsidR="00433185" w:rsidRDefault="00433185">
      <w:pPr>
        <w:jc w:val="both"/>
      </w:pPr>
    </w:p>
    <w:tbl>
      <w:tblPr>
        <w:tblW w:w="1545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5"/>
        <w:gridCol w:w="4177"/>
        <w:gridCol w:w="525"/>
        <w:gridCol w:w="600"/>
        <w:gridCol w:w="739"/>
        <w:gridCol w:w="2173"/>
        <w:gridCol w:w="1843"/>
        <w:gridCol w:w="1701"/>
        <w:gridCol w:w="1842"/>
        <w:gridCol w:w="1276"/>
      </w:tblGrid>
      <w:tr w:rsidR="00433185">
        <w:trPr>
          <w:cantSplit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4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Технологическое мероприятие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изм.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средств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8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по годам</w:t>
            </w:r>
          </w:p>
        </w:tc>
      </w:tr>
      <w:tr w:rsidR="00433185">
        <w:trPr>
          <w:cantSplit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4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both"/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улично-дорожной сети дорог и тротуаров общего пользования местного значения в городском поселении «р.п. Пильна»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3 077,3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3077,3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Подъезд к ферме № 1 в с. Петряксы Пильнинском районе Нижегородской области от а/д 22 ОП МЗ 22НН-3357 Знаменское-Петряксы (продолжение дороги по ул. Советская с. Петряксы с западной сто</w:t>
            </w:r>
            <w:r>
              <w:rPr>
                <w:sz w:val="16"/>
                <w:szCs w:val="16"/>
              </w:rPr>
              <w:t>роны)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trHeight w:val="7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Подъезд к МТФ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778,8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документации на реконструкцию автомобильной дороги Проезд от ул. Свободы с. Старомочалеи до земель КФХ ( МТФ № 2) в сторону с. Жданово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1 040,0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проектно-изыскательские работы по объекту «</w:t>
            </w:r>
            <w:r>
              <w:rPr>
                <w:rFonts w:eastAsia="Calibri"/>
                <w:color w:val="000000"/>
                <w:sz w:val="16"/>
                <w:szCs w:val="16"/>
              </w:rPr>
              <w:t>Реконструкция автомобильной дороги Проезд от ул. Свободы c. Старомочалеи до земель КФХ (МТФ №2) в сторону с.Жданово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55,1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Проезд от ул. Свободы с. Старомочалеи до земель КФХ (МТФ № 2) в сторону с. Жданово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478,0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iCs/>
                <w:sz w:val="16"/>
                <w:szCs w:val="16"/>
              </w:rPr>
              <w:t xml:space="preserve">Проезд от ул. Свободы с. Старомочалеи до земель КФХ </w:t>
            </w:r>
            <w:r>
              <w:rPr>
                <w:iCs/>
                <w:sz w:val="16"/>
                <w:szCs w:val="16"/>
              </w:rPr>
              <w:t xml:space="preserve">(МТФ № 2) в сторону с. Жданово </w:t>
            </w:r>
            <w:r>
              <w:rPr>
                <w:rFonts w:eastAsia="Calibri"/>
                <w:iCs/>
                <w:sz w:val="16"/>
                <w:szCs w:val="16"/>
              </w:rPr>
              <w:t>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проектно-изыскательские работы по объекту «Р</w:t>
            </w:r>
            <w:r>
              <w:rPr>
                <w:rFonts w:eastAsia="Calibri"/>
                <w:color w:val="000000"/>
                <w:sz w:val="16"/>
                <w:szCs w:val="16"/>
              </w:rPr>
              <w:t xml:space="preserve">еконструкция автомобильной дороги Подъезд к ферме № 1 в с. Петряксы Пильнинском районе Нижегородской области от а/д 22 ОП МЗ 22Н-3457 Знаменское-Петряксы (продолжение дороги по </w:t>
            </w:r>
            <w:r>
              <w:rPr>
                <w:rFonts w:eastAsia="Calibri"/>
                <w:color w:val="000000"/>
                <w:sz w:val="16"/>
                <w:szCs w:val="16"/>
              </w:rPr>
              <w:t>ул.Советская с Петряксы с западной стороны)»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51,1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№1 в с. Петряксы Пильнинского района Нижегородской области от а\д</w:t>
            </w:r>
            <w:r>
              <w:rPr>
                <w:rFonts w:eastAsia="Calibri"/>
                <w:iCs/>
                <w:sz w:val="16"/>
                <w:szCs w:val="16"/>
              </w:rPr>
              <w:t xml:space="preserve"> 22 ОП МЗ 22Н-3457 Заменское-Петряксы (продолжение дороги по ул. Советская с. Петряксы с западной стороны)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460,1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460,1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№1 в с. Петряксы Пильнинского района Нижегородской области от а\д 22 ОП МЗ 22Н-3457 Знаменское-Петряксы (продолжение дороги по ул. Советская с. Петряксы с западной стороны)</w:t>
            </w:r>
          </w:p>
          <w:p w:rsidR="00433185" w:rsidRDefault="004331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both"/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Экспертиза сметной документации на проектно-</w:t>
            </w:r>
            <w:r>
              <w:rPr>
                <w:rFonts w:eastAsia="Calibri"/>
                <w:sz w:val="16"/>
                <w:szCs w:val="16"/>
              </w:rPr>
              <w:lastRenderedPageBreak/>
              <w:t>изыскательские работы по объекту «Р</w:t>
            </w:r>
            <w:r>
              <w:rPr>
                <w:rFonts w:eastAsia="Calibri"/>
                <w:color w:val="000000"/>
                <w:sz w:val="16"/>
                <w:szCs w:val="16"/>
              </w:rPr>
              <w:t>еконструкция автомобильной дороги Подъезд к ферме №2 по ул.Советская с.Петряксы с восточной стороны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rFonts w:eastAsia="Calibri"/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rFonts w:eastAsia="Calibri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государственной экспертизы п</w:t>
            </w:r>
            <w:r>
              <w:rPr>
                <w:rFonts w:eastAsia="Calibri"/>
                <w:sz w:val="16"/>
                <w:szCs w:val="16"/>
              </w:rPr>
              <w:t>роектн</w:t>
            </w:r>
            <w:r>
              <w:rPr>
                <w:sz w:val="16"/>
                <w:szCs w:val="16"/>
              </w:rPr>
              <w:t>ой</w:t>
            </w:r>
            <w:r>
              <w:rPr>
                <w:rFonts w:eastAsia="Calibri"/>
                <w:sz w:val="16"/>
                <w:szCs w:val="16"/>
              </w:rPr>
              <w:t xml:space="preserve"> документаци</w:t>
            </w:r>
            <w:r>
              <w:rPr>
                <w:sz w:val="16"/>
                <w:szCs w:val="16"/>
              </w:rPr>
              <w:t>и</w:t>
            </w:r>
            <w:r>
              <w:rPr>
                <w:rFonts w:eastAsia="Calibri"/>
                <w:sz w:val="16"/>
                <w:szCs w:val="16"/>
              </w:rPr>
              <w:t xml:space="preserve"> и результат</w:t>
            </w:r>
            <w:r>
              <w:rPr>
                <w:sz w:val="16"/>
                <w:szCs w:val="16"/>
              </w:rPr>
              <w:t>ов</w:t>
            </w:r>
            <w:r>
              <w:rPr>
                <w:rFonts w:eastAsia="Calibri"/>
                <w:sz w:val="16"/>
                <w:szCs w:val="16"/>
              </w:rPr>
              <w:t xml:space="preserve"> инженерных изысканий по объекту: </w:t>
            </w:r>
            <w:r>
              <w:rPr>
                <w:rFonts w:eastAsia="Calibri"/>
                <w:iCs/>
                <w:sz w:val="16"/>
                <w:szCs w:val="16"/>
              </w:rPr>
              <w:t>Подъезд к ферме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>
              <w:rPr>
                <w:rFonts w:eastAsia="Calibri"/>
                <w:sz w:val="16"/>
                <w:szCs w:val="16"/>
              </w:rPr>
              <w:t>роведени</w:t>
            </w:r>
            <w:r>
              <w:rPr>
                <w:sz w:val="16"/>
                <w:szCs w:val="16"/>
              </w:rPr>
              <w:t>е</w:t>
            </w:r>
            <w:r>
              <w:rPr>
                <w:rFonts w:eastAsia="Calibri"/>
                <w:sz w:val="16"/>
                <w:szCs w:val="16"/>
              </w:rPr>
              <w:t xml:space="preserve"> проверки достоверности определения сметной стоимост</w:t>
            </w:r>
            <w:r>
              <w:rPr>
                <w:rFonts w:eastAsia="Calibri"/>
                <w:sz w:val="16"/>
                <w:szCs w:val="16"/>
              </w:rPr>
              <w:t>и объекта</w:t>
            </w:r>
            <w:r>
              <w:rPr>
                <w:rFonts w:eastAsia="Calibri"/>
                <w:bCs/>
                <w:sz w:val="16"/>
                <w:szCs w:val="16"/>
              </w:rPr>
              <w:t>: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Проектная документация и результаты инженерных изысканий по объекту: </w:t>
            </w:r>
            <w:r>
              <w:rPr>
                <w:iCs/>
                <w:sz w:val="16"/>
                <w:szCs w:val="16"/>
              </w:rPr>
              <w:t>Подъезд к ферме № 2 по ул. Советская с. Петряксы с восточной стороны Пильнинского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«Подъезд к ферме № 1 в с. Петряксы Пильнинского района Нижегородской области от а/д 22 ОП МЗ 22Н-3457 Знаменское – Петряксы (продолжение дороги по ул. Советская с. Петряксы с западной стороны)»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0,435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11 781,5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11 781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«Подъезд к ферме № 2 по ул. Советская с. Петряксы с восточной стороны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13 277,7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13 277,7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«Проезд от ул. Свободы с. Старомочалеи до земель КФХ (МТФ № 2) в сторону с. Жданово Пильнинского района Нижегородской области»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24 361,8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24 361,8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Ремонт автомобильной дороги по ул.К</w:t>
            </w:r>
            <w:r>
              <w:rPr>
                <w:color w:val="000000"/>
                <w:sz w:val="16"/>
                <w:szCs w:val="16"/>
              </w:rPr>
              <w:t>олхозная км 0+270 - км 1+620 в р.п.Пильна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1,350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6 778,1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6 778,1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участка автомобильной дороги по ул.Красная Новь км 0+495 – км 2+300, по ул.Будённого км 0+000 - км 0+062 в с.Можаров</w:t>
            </w:r>
            <w:r>
              <w:rPr>
                <w:sz w:val="16"/>
                <w:szCs w:val="16"/>
              </w:rPr>
              <w:t xml:space="preserve"> Майдан Пильнинского муниципального района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1,867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7 873,4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7 873,4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участка автомобильной дороги по переулку от д.№54 по ул. Урицкого до д.№32 ул.Новая, км 0+000-км 0+32 в р.п.Пильна Нижегородской области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км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0,320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1 225,8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1 225,8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Нераспределенные средства субсидий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2,72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72 766,1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65 364,5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</w:tbl>
    <w:p w:rsidR="00433185" w:rsidRDefault="00433185">
      <w:pPr>
        <w:jc w:val="right"/>
        <w:rPr>
          <w:szCs w:val="20"/>
        </w:rPr>
      </w:pPr>
    </w:p>
    <w:p w:rsidR="00433185" w:rsidRDefault="00433185">
      <w:pPr>
        <w:jc w:val="right"/>
        <w:rPr>
          <w:szCs w:val="20"/>
        </w:rPr>
      </w:pPr>
    </w:p>
    <w:p w:rsidR="00433185" w:rsidRDefault="00FF5866">
      <w:pPr>
        <w:pageBreakBefore/>
        <w:jc w:val="right"/>
      </w:pPr>
      <w:r>
        <w:lastRenderedPageBreak/>
        <w:t>Таблица 8</w:t>
      </w:r>
    </w:p>
    <w:p w:rsidR="00433185" w:rsidRDefault="00433185">
      <w:pPr>
        <w:spacing w:line="100" w:lineRule="atLeast"/>
        <w:jc w:val="center"/>
      </w:pPr>
    </w:p>
    <w:p w:rsidR="00433185" w:rsidRDefault="00FF5866">
      <w:pPr>
        <w:spacing w:line="100" w:lineRule="atLeast"/>
        <w:jc w:val="center"/>
      </w:pPr>
      <w:r>
        <w:t xml:space="preserve">Мероприятия по обустройству и восстановлению памятных мест, </w:t>
      </w:r>
    </w:p>
    <w:p w:rsidR="00433185" w:rsidRDefault="00FF5866">
      <w:pPr>
        <w:spacing w:line="100" w:lineRule="atLeast"/>
        <w:jc w:val="center"/>
      </w:pPr>
      <w:r>
        <w:t xml:space="preserve">посвященных Великой Отечественной Войне 1941 – 1945 г.г. </w:t>
      </w:r>
    </w:p>
    <w:p w:rsidR="00433185" w:rsidRDefault="00433185">
      <w:pPr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4631"/>
        <w:gridCol w:w="1250"/>
        <w:gridCol w:w="3214"/>
        <w:gridCol w:w="2977"/>
        <w:gridCol w:w="2835"/>
      </w:tblGrid>
      <w:tr w:rsidR="00433185">
        <w:trPr>
          <w:cantSplit/>
          <w:tblHeader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4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мероприятия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9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программы по годам</w:t>
            </w:r>
          </w:p>
        </w:tc>
      </w:tr>
      <w:tr w:rsidR="00433185">
        <w:trPr>
          <w:cantSplit/>
          <w:tblHeader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</w:tr>
      <w:tr w:rsidR="00433185">
        <w:trPr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и восстановление памятных мест,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посвященных Великой Отечественной Войне 1941 – 1945 г.г.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2 811,7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2 811,7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3185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2 811,7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2 811,7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:rsidR="00433185" w:rsidRDefault="00433185">
      <w:pPr>
        <w:jc w:val="right"/>
      </w:pPr>
    </w:p>
    <w:p w:rsidR="00433185" w:rsidRDefault="00433185">
      <w:pPr>
        <w:jc w:val="right"/>
      </w:pPr>
    </w:p>
    <w:p w:rsidR="00433185" w:rsidRDefault="00FF5866">
      <w:pPr>
        <w:jc w:val="right"/>
      </w:pPr>
      <w:r>
        <w:t>Таблица 9</w:t>
      </w:r>
    </w:p>
    <w:p w:rsidR="00433185" w:rsidRDefault="00433185">
      <w:pPr>
        <w:spacing w:line="100" w:lineRule="atLeast"/>
        <w:jc w:val="center"/>
      </w:pPr>
    </w:p>
    <w:p w:rsidR="00433185" w:rsidRDefault="00FF5866">
      <w:pPr>
        <w:spacing w:line="100" w:lineRule="atLeast"/>
        <w:jc w:val="center"/>
      </w:pPr>
      <w:r>
        <w:rPr>
          <w:color w:val="000000"/>
        </w:rPr>
        <w:t xml:space="preserve">Мероприятия по расселению жилого дома, расположенного по адресу: Пильнинский район, пос. </w:t>
      </w:r>
      <w:r>
        <w:rPr>
          <w:color w:val="000000"/>
        </w:rPr>
        <w:t>Ваньково, ул. Лесная, д.2</w:t>
      </w:r>
    </w:p>
    <w:p w:rsidR="00433185" w:rsidRDefault="00433185">
      <w:pPr>
        <w:spacing w:line="100" w:lineRule="atLeast"/>
        <w:jc w:val="center"/>
      </w:pPr>
    </w:p>
    <w:p w:rsidR="00433185" w:rsidRDefault="00433185">
      <w:pPr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3463"/>
        <w:gridCol w:w="1601"/>
        <w:gridCol w:w="3440"/>
        <w:gridCol w:w="2977"/>
        <w:gridCol w:w="3260"/>
      </w:tblGrid>
      <w:tr w:rsidR="00433185">
        <w:trPr>
          <w:cantSplit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Технические мероприятия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Всего, 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тыс. руб.</w:t>
            </w:r>
          </w:p>
        </w:tc>
        <w:tc>
          <w:tcPr>
            <w:tcW w:w="9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программы по годам</w:t>
            </w:r>
          </w:p>
        </w:tc>
      </w:tr>
      <w:tr w:rsidR="00433185">
        <w:trPr>
          <w:cantSplit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</w:tc>
      </w:tr>
      <w:tr w:rsidR="00433185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расселению жилого дома, расположенного по адресу: Пильнинский район, пос. Ваньково, ул. Лесная, д.2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2 826,0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2 826,0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433185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2 826,0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2 826,0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</w:tbl>
    <w:p w:rsidR="00433185" w:rsidRDefault="00433185">
      <w:pPr>
        <w:sectPr w:rsidR="00433185">
          <w:pgSz w:w="16838" w:h="11906" w:orient="landscape"/>
          <w:pgMar w:top="567" w:right="567" w:bottom="567" w:left="850" w:header="720" w:footer="720" w:gutter="0"/>
          <w:cols w:space="720"/>
          <w:docGrid w:linePitch="360"/>
        </w:sectPr>
      </w:pPr>
    </w:p>
    <w:p w:rsidR="00433185" w:rsidRDefault="00FF5866">
      <w:pPr>
        <w:jc w:val="center"/>
        <w:rPr>
          <w:b/>
        </w:rPr>
      </w:pPr>
      <w:r>
        <w:rPr>
          <w:b/>
        </w:rPr>
        <w:lastRenderedPageBreak/>
        <w:t>5. Финансовое обеспечение Программы.</w:t>
      </w:r>
    </w:p>
    <w:p w:rsidR="00433185" w:rsidRDefault="00433185">
      <w:pPr>
        <w:jc w:val="center"/>
        <w:rPr>
          <w:b/>
        </w:rPr>
      </w:pPr>
    </w:p>
    <w:p w:rsidR="00433185" w:rsidRDefault="00FF5866">
      <w:pPr>
        <w:ind w:firstLine="567"/>
        <w:jc w:val="both"/>
      </w:pPr>
      <w:r>
        <w:t>Основные мероприятия программы направлены на привлечение бюджетных и внебюджетных инвестиций в обеспечение комплексного развития систем коммуна</w:t>
      </w:r>
      <w:r>
        <w:t>льной инфраструктуры Пильнинского муниципального района, а также на внедрение механизмов, обеспечивающих осуществление планируемого строительства новых, реконструкции и комплексного обновления (модернизации) существующих систем коммунальной инфраструктуры.</w:t>
      </w:r>
    </w:p>
    <w:p w:rsidR="00433185" w:rsidRDefault="00FF5866">
      <w:pPr>
        <w:ind w:firstLine="567"/>
        <w:jc w:val="both"/>
      </w:pPr>
      <w:r>
        <w:t>Предполагаемое финансовое обеспечение Программы</w:t>
      </w:r>
    </w:p>
    <w:p w:rsidR="00433185" w:rsidRDefault="00FF5866">
      <w:pPr>
        <w:ind w:firstLine="567"/>
        <w:jc w:val="both"/>
      </w:pPr>
      <w:r>
        <w:t>Основными источниками инвестирования Программы являются (табл.8):</w:t>
      </w:r>
    </w:p>
    <w:p w:rsidR="00433185" w:rsidRDefault="00FF5866">
      <w:pPr>
        <w:spacing w:line="100" w:lineRule="atLeast"/>
        <w:ind w:firstLine="567"/>
        <w:jc w:val="both"/>
      </w:pPr>
      <w:r>
        <w:t>• средства, организаций коммунального комплекса и кредитные средства (внебюджетные средства).</w:t>
      </w:r>
    </w:p>
    <w:p w:rsidR="00433185" w:rsidRDefault="00FF5866">
      <w:pPr>
        <w:spacing w:line="100" w:lineRule="atLeast"/>
        <w:ind w:firstLine="567"/>
        <w:jc w:val="both"/>
      </w:pPr>
      <w:r>
        <w:t>•средства областного бюджета.</w:t>
      </w:r>
    </w:p>
    <w:p w:rsidR="00433185" w:rsidRDefault="00FF5866">
      <w:pPr>
        <w:spacing w:line="100" w:lineRule="atLeast"/>
        <w:ind w:firstLine="567"/>
        <w:jc w:val="both"/>
      </w:pPr>
      <w:r>
        <w:t>•средства местног</w:t>
      </w:r>
      <w:r>
        <w:t>о бюджета.</w:t>
      </w:r>
    </w:p>
    <w:p w:rsidR="00433185" w:rsidRDefault="00FF5866">
      <w:pPr>
        <w:spacing w:line="100" w:lineRule="atLeast"/>
        <w:ind w:firstLine="567"/>
        <w:jc w:val="both"/>
      </w:pPr>
      <w:r>
        <w:t>Общий объем финансирования Программы составляет 304054,0 тыс. рублей, в том числе:</w:t>
      </w:r>
    </w:p>
    <w:p w:rsidR="00433185" w:rsidRDefault="00FF5866">
      <w:pPr>
        <w:spacing w:line="100" w:lineRule="atLeast"/>
        <w:ind w:firstLine="567"/>
        <w:jc w:val="both"/>
      </w:pPr>
      <w:r>
        <w:t>- федеральный бюджет – 69474,4 тыс. руб.</w:t>
      </w:r>
    </w:p>
    <w:p w:rsidR="00433185" w:rsidRDefault="00FF5866">
      <w:pPr>
        <w:spacing w:line="100" w:lineRule="atLeast"/>
        <w:ind w:firstLine="567"/>
        <w:jc w:val="both"/>
      </w:pPr>
      <w:r>
        <w:t>- областной бюджет –132787,0 тыс. руб.,</w:t>
      </w:r>
    </w:p>
    <w:p w:rsidR="00433185" w:rsidRDefault="00FF5866">
      <w:pPr>
        <w:spacing w:line="100" w:lineRule="atLeast"/>
        <w:ind w:firstLine="567"/>
        <w:jc w:val="both"/>
      </w:pPr>
      <w:r>
        <w:t>- районный бюджет – 100727,6 тыс. руб.</w:t>
      </w:r>
    </w:p>
    <w:p w:rsidR="00433185" w:rsidRDefault="00FF5866">
      <w:pPr>
        <w:spacing w:line="100" w:lineRule="atLeast"/>
        <w:ind w:firstLine="567"/>
        <w:jc w:val="both"/>
      </w:pPr>
      <w:r>
        <w:t>- средства бюджетов поселений – 1065,0</w:t>
      </w:r>
    </w:p>
    <w:p w:rsidR="00433185" w:rsidRDefault="00FF5866">
      <w:pPr>
        <w:spacing w:line="100" w:lineRule="atLeast"/>
        <w:ind w:firstLine="567"/>
        <w:jc w:val="both"/>
      </w:pPr>
      <w:r>
        <w:t>- внебюджетные средства – 0 тыс. руб.</w:t>
      </w:r>
    </w:p>
    <w:p w:rsidR="00433185" w:rsidRDefault="00433185">
      <w:pPr>
        <w:spacing w:line="100" w:lineRule="atLeast"/>
        <w:ind w:firstLine="567"/>
        <w:jc w:val="right"/>
      </w:pPr>
    </w:p>
    <w:p w:rsidR="00433185" w:rsidRDefault="00FF5866">
      <w:pPr>
        <w:spacing w:line="100" w:lineRule="atLeast"/>
        <w:jc w:val="center"/>
      </w:pPr>
      <w:r>
        <w:t>Финансовое обеспечение Программы по периодам реализации мероприятий</w:t>
      </w:r>
    </w:p>
    <w:p w:rsidR="00433185" w:rsidRDefault="00433185">
      <w:pPr>
        <w:spacing w:line="100" w:lineRule="atLeast"/>
        <w:jc w:val="center"/>
      </w:pPr>
    </w:p>
    <w:tbl>
      <w:tblPr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1110"/>
        <w:gridCol w:w="170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433185">
        <w:trPr>
          <w:cantSplit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№№ п/п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 инвестирования</w:t>
            </w:r>
          </w:p>
        </w:tc>
        <w:tc>
          <w:tcPr>
            <w:tcW w:w="76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Инвестиции на реализацию мероприятий Программы, тыс. руб.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водоснабжения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1 608,8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Внебюджетные средства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1 608,8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водоотведения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2 476,9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1 956,4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4 433,3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4 589,7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55,9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  <w:trHeight w:val="28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2 971,6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9 078,9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газоснабжения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6 100,0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15100,00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12233,8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28654,9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11 231,3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80 644,3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9850,9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5 695,6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5 551,7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10 690,5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17 421,0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63114,5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16678,9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42505,8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23 026,9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5 551,7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10 690,5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17 421,0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158858,8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«Инженерная инфраструктура территории комплексной малоэтажной застройки р.п. Пильна»</w:t>
            </w:r>
          </w:p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«Благоустройство территорий» по реализации приоритетно</w:t>
            </w:r>
            <w:r>
              <w:rPr>
                <w:sz w:val="16"/>
                <w:szCs w:val="16"/>
              </w:rPr>
              <w:lastRenderedPageBreak/>
              <w:t>го проекта «Формирование современной городской среды»</w:t>
            </w:r>
          </w:p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5 127,8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27854,4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1405,6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2452,8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131</w:t>
            </w:r>
            <w:r>
              <w:rPr>
                <w:sz w:val="16"/>
                <w:szCs w:val="16"/>
              </w:rPr>
              <w:t>7,9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1691,9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6403,2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501,8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5930,3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7302,1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6 659,4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6367,8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6367,8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37212,2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Техническое и аварийно-диспетчерское обслуживание </w:t>
            </w:r>
          </w:p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газопроводов и газового оборудования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19634,9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4387,3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2805,3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19634,9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ind w:left="-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области проектирования, строительства (реконструкции) автомобильных дорог общего пользования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26799,9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26799,9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4029,2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36166,6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40195,8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2413,3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4811,3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959,1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7401,6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65364,5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72766,1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 и восстановлению памятных мест, посвященных ВОВ 1941-1945 гг.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2811,7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2811,7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Мероприятия по расселению жилого дома, расположенного по адресу: Пильнинский район, пос. Ваньково, ул. Лесная, д.2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2260,8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2260,8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565,2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Средства бюджетов поселений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2826,0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2826,0</w:t>
            </w:r>
          </w:p>
        </w:tc>
      </w:tr>
      <w:tr w:rsidR="00433185">
        <w:trPr>
          <w:cantSplit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мероприятия по Программе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2720,7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9123,8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38804,2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5127,8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69754,3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28524,3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13639,4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35374,5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54672,8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213,7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132798,7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8716,1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7245,1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15672,6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12073,3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10674,9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16476,5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24738,2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100727,6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бюджетов поселений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1516,8</w:t>
            </w: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433185">
            <w:pPr>
              <w:spacing w:line="100" w:lineRule="atLeast"/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433185">
            <w:pPr>
              <w:spacing w:line="100" w:lineRule="atLeas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33185" w:rsidRDefault="00FF5866">
            <w:pPr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42240,4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5130,9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23655,2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61130,0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106058,0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16016,4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21152,4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29414,1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185" w:rsidRDefault="00FF5866">
            <w:pPr>
              <w:spacing w:line="100" w:lineRule="atLeast"/>
              <w:jc w:val="center"/>
            </w:pPr>
            <w:r>
              <w:rPr>
                <w:sz w:val="16"/>
                <w:szCs w:val="16"/>
              </w:rPr>
              <w:t>304797,4</w:t>
            </w:r>
          </w:p>
        </w:tc>
      </w:tr>
    </w:tbl>
    <w:p w:rsidR="00433185" w:rsidRDefault="00433185">
      <w:pPr>
        <w:spacing w:line="100" w:lineRule="atLeast"/>
        <w:ind w:firstLine="552"/>
        <w:jc w:val="both"/>
      </w:pPr>
    </w:p>
    <w:p w:rsidR="00433185" w:rsidRDefault="00433185">
      <w:pPr>
        <w:widowControl w:val="0"/>
        <w:jc w:val="center"/>
        <w:rPr>
          <w:b/>
          <w:bCs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433185">
      <w:pPr>
        <w:widowControl w:val="0"/>
        <w:jc w:val="center"/>
        <w:rPr>
          <w:b/>
        </w:rPr>
      </w:pPr>
    </w:p>
    <w:p w:rsidR="00433185" w:rsidRDefault="00FF5866">
      <w:pPr>
        <w:widowControl w:val="0"/>
        <w:jc w:val="center"/>
        <w:rPr>
          <w:b/>
        </w:rPr>
      </w:pPr>
      <w:r>
        <w:rPr>
          <w:b/>
          <w:bCs/>
        </w:rPr>
        <w:lastRenderedPageBreak/>
        <w:t>6. Сведения об индикаторах и непосредственных результатах</w:t>
      </w:r>
    </w:p>
    <w:p w:rsidR="00433185" w:rsidRDefault="00433185">
      <w:pPr>
        <w:widowControl w:val="0"/>
        <w:rPr>
          <w:b/>
          <w:bCs/>
        </w:rPr>
      </w:pPr>
    </w:p>
    <w:tbl>
      <w:tblPr>
        <w:tblW w:w="1034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5"/>
        <w:gridCol w:w="2320"/>
        <w:gridCol w:w="567"/>
        <w:gridCol w:w="709"/>
        <w:gridCol w:w="851"/>
        <w:gridCol w:w="992"/>
        <w:gridCol w:w="850"/>
        <w:gridCol w:w="851"/>
        <w:gridCol w:w="850"/>
        <w:gridCol w:w="851"/>
        <w:gridCol w:w="992"/>
      </w:tblGrid>
      <w:tr w:rsidR="00433185">
        <w:trPr>
          <w:cantSplit/>
        </w:trPr>
        <w:tc>
          <w:tcPr>
            <w:tcW w:w="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bookmarkStart w:id="1" w:name="P474"/>
            <w:bookmarkEnd w:id="1"/>
            <w:r>
              <w:rPr>
                <w:sz w:val="16"/>
                <w:szCs w:val="16"/>
              </w:rPr>
              <w:t>№</w:t>
            </w:r>
          </w:p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п/п</w:t>
            </w:r>
          </w:p>
        </w:tc>
        <w:tc>
          <w:tcPr>
            <w:tcW w:w="23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</w:p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индикатора/ непосредственного</w:t>
            </w:r>
          </w:p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результата</w:t>
            </w:r>
          </w:p>
        </w:tc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измерения</w:t>
            </w:r>
          </w:p>
        </w:tc>
        <w:tc>
          <w:tcPr>
            <w:tcW w:w="6946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Значение индикатора/непосредственного</w:t>
            </w:r>
          </w:p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результата</w:t>
            </w:r>
          </w:p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</w:tr>
      <w:tr w:rsidR="00433185">
        <w:trPr>
          <w:cantSplit/>
          <w:trHeight w:val="340"/>
        </w:trPr>
        <w:tc>
          <w:tcPr>
            <w:tcW w:w="51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г.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 г.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г.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2022 г.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2023г.</w:t>
            </w:r>
          </w:p>
        </w:tc>
      </w:tr>
      <w:tr w:rsidR="00433185"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</w:tr>
      <w:tr w:rsidR="00433185">
        <w:tc>
          <w:tcPr>
            <w:tcW w:w="283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Комплексного развития систем коммунальной</w:t>
            </w:r>
          </w:p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инфраструктуры Пильнинского муниципального района</w:t>
            </w:r>
          </w:p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 2014-2022 годы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</w:tr>
      <w:tr w:rsidR="00433185"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газификации природным газом жилого фонда Пильнинского района: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</w:rPr>
              <w:t>70,7</w:t>
            </w:r>
          </w:p>
        </w:tc>
      </w:tr>
      <w:tr w:rsidR="00433185"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Непосредственный результат 1.1.: Газифицировано жилого фонда в Пильнинском районе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jc w:val="center"/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</w:rPr>
              <w:t>80</w:t>
            </w:r>
          </w:p>
        </w:tc>
      </w:tr>
      <w:tr w:rsidR="00433185"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Уровень восстановленных и отремонтированных памятных мест, посвященных ВОВ 1941-1945 гг.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</w:tr>
      <w:tr w:rsidR="00433185">
        <w:tc>
          <w:tcPr>
            <w:tcW w:w="51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tcBorders>
              <w:left w:val="single" w:sz="1" w:space="0" w:color="000000"/>
              <w:bottom w:val="single" w:sz="1" w:space="0" w:color="000000"/>
            </w:tcBorders>
          </w:tcPr>
          <w:p w:rsidR="00433185" w:rsidRDefault="00FF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Непосредственный результат 1.2.: Восстановлено и отремонтировано памятных мест, посвященных ВОВ 1941-1945 гг.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FF58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4331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433185" w:rsidRDefault="00433185">
            <w:pPr>
              <w:rPr>
                <w:sz w:val="16"/>
                <w:szCs w:val="16"/>
              </w:rPr>
            </w:pPr>
          </w:p>
        </w:tc>
      </w:tr>
    </w:tbl>
    <w:p w:rsidR="00433185" w:rsidRDefault="00433185">
      <w:pPr>
        <w:spacing w:line="100" w:lineRule="atLeast"/>
        <w:ind w:firstLine="534"/>
        <w:jc w:val="both"/>
      </w:pPr>
    </w:p>
    <w:p w:rsidR="00433185" w:rsidRDefault="00FF5866">
      <w:pPr>
        <w:jc w:val="center"/>
      </w:pPr>
      <w:r>
        <w:rPr>
          <w:b/>
        </w:rPr>
        <w:t>7. Управление Программой</w:t>
      </w:r>
    </w:p>
    <w:p w:rsidR="00433185" w:rsidRDefault="00433185">
      <w:pPr>
        <w:jc w:val="both"/>
      </w:pPr>
    </w:p>
    <w:p w:rsidR="00433185" w:rsidRDefault="00FF5866">
      <w:pPr>
        <w:ind w:firstLine="567"/>
        <w:jc w:val="both"/>
      </w:pPr>
      <w:r>
        <w:t>Ответственными за реализацию Программы являются все структурные подразделения Администрации района, администрации сельских поселений, организации коммунального комплекса при условии их участия в реализации Программы.</w:t>
      </w:r>
    </w:p>
    <w:p w:rsidR="00433185" w:rsidRDefault="00FF5866">
      <w:pPr>
        <w:ind w:firstLine="567"/>
        <w:jc w:val="both"/>
      </w:pPr>
      <w:r>
        <w:t>Практическая реализация мероприятий пре</w:t>
      </w:r>
      <w:r>
        <w:t>длагаемой Программы позволит достичь ряда положительных структурных эффектов в следующих областях:</w:t>
      </w:r>
    </w:p>
    <w:p w:rsidR="00433185" w:rsidRDefault="00FF5866">
      <w:pPr>
        <w:ind w:firstLine="567"/>
        <w:jc w:val="both"/>
      </w:pPr>
      <w:r>
        <w:t>- надежность и качество оказываемых жилищно-коммунальных услуг;</w:t>
      </w:r>
    </w:p>
    <w:p w:rsidR="00433185" w:rsidRDefault="00FF5866">
      <w:pPr>
        <w:ind w:firstLine="567"/>
        <w:jc w:val="both"/>
      </w:pPr>
      <w:r>
        <w:t>- эффективность функционирования организаций коммунального комплекса, сбережение топливно-эне</w:t>
      </w:r>
      <w:r>
        <w:t>ргетических и водных ресурсов;</w:t>
      </w:r>
    </w:p>
    <w:p w:rsidR="00433185" w:rsidRDefault="00FF5866">
      <w:pPr>
        <w:ind w:firstLine="567"/>
        <w:jc w:val="both"/>
      </w:pPr>
      <w:r>
        <w:t>- снижение темпов прироста стоимости отдельных видов жилищно-коммунальных услуг для конечных потребителей;</w:t>
      </w:r>
    </w:p>
    <w:p w:rsidR="00433185" w:rsidRDefault="00FF5866">
      <w:pPr>
        <w:ind w:firstLine="567"/>
        <w:jc w:val="both"/>
      </w:pPr>
      <w:r>
        <w:t>- техническая и экономическая доступность коммунальных услуг;</w:t>
      </w:r>
    </w:p>
    <w:p w:rsidR="00433185" w:rsidRDefault="00FF5866">
      <w:pPr>
        <w:ind w:firstLine="567"/>
        <w:jc w:val="both"/>
      </w:pPr>
      <w:r>
        <w:t>- экологическая безопасность;</w:t>
      </w:r>
    </w:p>
    <w:p w:rsidR="00433185" w:rsidRDefault="00FF5866">
      <w:pPr>
        <w:ind w:firstLine="567"/>
        <w:jc w:val="both"/>
      </w:pPr>
      <w:r>
        <w:t>- благоустройство территор</w:t>
      </w:r>
      <w:r>
        <w:t>ий районного поселка и сельских населенных пунктов за счет расширения мощностей производственных фондов коммунальной инфраструктуры;</w:t>
      </w:r>
    </w:p>
    <w:p w:rsidR="00433185" w:rsidRDefault="00FF5866">
      <w:pPr>
        <w:ind w:firstLine="567"/>
        <w:jc w:val="both"/>
      </w:pPr>
      <w:r>
        <w:t>- функционирование систем и объектов коммунальной инфраструктуры в соответствии с потребностями жилищного и промышленного с</w:t>
      </w:r>
      <w:r>
        <w:t>троительства;</w:t>
      </w:r>
    </w:p>
    <w:p w:rsidR="00433185" w:rsidRDefault="00FF5866">
      <w:pPr>
        <w:ind w:firstLine="567"/>
        <w:jc w:val="both"/>
      </w:pPr>
      <w:r>
        <w:t>- повышение инвестиционной привлекательности Пильнинского муниципального района;</w:t>
      </w:r>
    </w:p>
    <w:p w:rsidR="00433185" w:rsidRDefault="00FF5866">
      <w:pPr>
        <w:ind w:firstLine="567"/>
        <w:jc w:val="both"/>
      </w:pPr>
      <w:r>
        <w:t>- улучшение уровня жизни населения.</w:t>
      </w:r>
    </w:p>
    <w:p w:rsidR="00433185" w:rsidRDefault="00433185">
      <w:pPr>
        <w:ind w:firstLine="567"/>
        <w:jc w:val="both"/>
      </w:pPr>
    </w:p>
    <w:p w:rsidR="00433185" w:rsidRDefault="00FF5866">
      <w:pPr>
        <w:jc w:val="center"/>
      </w:pPr>
      <w:r>
        <w:rPr>
          <w:b/>
        </w:rPr>
        <w:t>8. Мониторинг и корректировка Программы</w:t>
      </w:r>
    </w:p>
    <w:p w:rsidR="00433185" w:rsidRDefault="00433185">
      <w:pPr>
        <w:ind w:firstLine="567"/>
        <w:jc w:val="both"/>
      </w:pPr>
    </w:p>
    <w:p w:rsidR="00433185" w:rsidRDefault="00FF5866">
      <w:pPr>
        <w:ind w:firstLine="567"/>
        <w:jc w:val="both"/>
      </w:pPr>
      <w:r>
        <w:t xml:space="preserve">Целью </w:t>
      </w:r>
      <w:bookmarkStart w:id="2" w:name="OLE_LINK19"/>
      <w:r>
        <w:t xml:space="preserve">мониторинга </w:t>
      </w:r>
      <w:bookmarkStart w:id="3" w:name="OLE_LINK18"/>
      <w:r>
        <w:t>Программы комплексного развития систем коммунальной инфраструктур</w:t>
      </w:r>
      <w:r>
        <w:t xml:space="preserve">ы Пильнинского муниципального района </w:t>
      </w:r>
      <w:bookmarkEnd w:id="2"/>
      <w:bookmarkEnd w:id="3"/>
      <w:r>
        <w:t>является периодический контроль ситуации в сфере коммунального хозяйства, а также анализ выполнения мероприятий по модернизации и развитию коммунального комплекса, предусмотренных Программой.</w:t>
      </w:r>
    </w:p>
    <w:p w:rsidR="00433185" w:rsidRDefault="00FF5866">
      <w:pPr>
        <w:ind w:firstLine="567"/>
        <w:jc w:val="both"/>
      </w:pPr>
      <w:r>
        <w:t>Мониторинг Программы компле</w:t>
      </w:r>
      <w:r>
        <w:t>ксного развития систем коммунальной инфраструктуры Пильнинского муниципального района включает в себя периодический сбор информации о результатах выполнения мероприятий Программы, а также информации о состоянии и развитии систем коммунальной инфраструктуры</w:t>
      </w:r>
      <w:r>
        <w:t>.</w:t>
      </w:r>
    </w:p>
    <w:p w:rsidR="00433185" w:rsidRDefault="00FF5866">
      <w:pPr>
        <w:spacing w:line="100" w:lineRule="atLeast"/>
        <w:ind w:firstLine="567"/>
        <w:jc w:val="both"/>
      </w:pPr>
      <w:r>
        <w:t>По ежегодным результатам мониторинга осуществляется своевременная корректировка Программы. Решение о корректировке Программы принимается Земским собранием Пильнинского муниципального района по итогам результатов реализации Программы.</w:t>
      </w:r>
    </w:p>
    <w:sectPr w:rsidR="00433185">
      <w:pgSz w:w="11906" w:h="16838"/>
      <w:pgMar w:top="720" w:right="731" w:bottom="720" w:left="8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866" w:rsidRDefault="00FF5866">
      <w:r>
        <w:separator/>
      </w:r>
    </w:p>
  </w:endnote>
  <w:endnote w:type="continuationSeparator" w:id="0">
    <w:p w:rsidR="00FF5866" w:rsidRDefault="00FF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Sans Serif">
    <w:panose1 w:val="020B0604020202020204"/>
    <w:charset w:val="00"/>
    <w:family w:val="auto"/>
    <w:pitch w:val="default"/>
  </w:font>
  <w:font w:name="Impact">
    <w:panose1 w:val="020B0806030902050204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866" w:rsidRDefault="00FF5866">
      <w:r>
        <w:separator/>
      </w:r>
    </w:p>
  </w:footnote>
  <w:footnote w:type="continuationSeparator" w:id="0">
    <w:p w:rsidR="00FF5866" w:rsidRDefault="00FF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21EE1"/>
    <w:multiLevelType w:val="hybridMultilevel"/>
    <w:tmpl w:val="AD365CA2"/>
    <w:lvl w:ilvl="0" w:tplc="490E15F4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/>
      </w:rPr>
    </w:lvl>
    <w:lvl w:ilvl="1" w:tplc="A4584C3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1842AC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46A59AC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AA9EEDEA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6563D3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F480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8E0336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55C039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85"/>
    <w:rsid w:val="00433185"/>
    <w:rsid w:val="008F2C62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widowControl w:val="0"/>
      <w:numPr>
        <w:numId w:val="1"/>
      </w:numPr>
      <w:jc w:val="center"/>
      <w:outlineLvl w:val="0"/>
    </w:pPr>
    <w:rPr>
      <w:b/>
      <w:sz w:val="36"/>
      <w:szCs w:val="20"/>
      <w:lang w:val="en-US"/>
    </w:rPr>
  </w:style>
  <w:style w:type="paragraph" w:styleId="2">
    <w:name w:val="heading 2"/>
    <w:basedOn w:val="a"/>
    <w:next w:val="a"/>
    <w:pPr>
      <w:keepNext/>
      <w:widowControl w:val="0"/>
      <w:numPr>
        <w:ilvl w:val="1"/>
        <w:numId w:val="1"/>
      </w:numPr>
      <w:spacing w:before="600" w:after="300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5">
    <w:name w:val="heading 5"/>
    <w:basedOn w:val="a"/>
    <w:next w:val="a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/>
    </w:rPr>
  </w:style>
  <w:style w:type="paragraph" w:styleId="7">
    <w:name w:val="heading 7"/>
    <w:basedOn w:val="a"/>
    <w:next w:val="a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Standard"/>
    <w:pPr>
      <w:ind w:left="720"/>
    </w:pPr>
  </w:style>
  <w:style w:type="paragraph" w:styleId="a4">
    <w:name w:val="No Spacing"/>
    <w:rPr>
      <w:rFonts w:ascii="Calibri" w:hAnsi="Calibri"/>
      <w:sz w:val="22"/>
      <w:lang w:eastAsia="ar-SA" w:bidi="ar-SA"/>
    </w:rPr>
  </w:style>
  <w:style w:type="paragraph" w:styleId="a5">
    <w:name w:val="Title"/>
    <w:basedOn w:val="a6"/>
    <w:next w:val="a7"/>
    <w:link w:val="20"/>
    <w:rPr>
      <w:rFonts w:ascii="Cambria" w:hAnsi="Cambria"/>
      <w:b/>
      <w:bCs/>
      <w:sz w:val="32"/>
      <w:szCs w:val="32"/>
      <w:lang w:val="en-US"/>
    </w:rPr>
  </w:style>
  <w:style w:type="character" w:customStyle="1" w:styleId="20">
    <w:name w:val="Название Знак2"/>
    <w:link w:val="a5"/>
    <w:uiPriority w:val="10"/>
    <w:rPr>
      <w:sz w:val="48"/>
      <w:szCs w:val="48"/>
    </w:rPr>
  </w:style>
  <w:style w:type="paragraph" w:styleId="a7">
    <w:name w:val="Subtitle"/>
    <w:basedOn w:val="a6"/>
    <w:next w:val="a8"/>
    <w:link w:val="10"/>
    <w:pPr>
      <w:jc w:val="center"/>
    </w:pPr>
    <w:rPr>
      <w:rFonts w:ascii="Cambria" w:hAnsi="Cambria"/>
      <w:sz w:val="24"/>
      <w:szCs w:val="24"/>
      <w:lang w:val="en-US"/>
    </w:rPr>
  </w:style>
  <w:style w:type="character" w:customStyle="1" w:styleId="10">
    <w:name w:val="Подзаголовок Знак1"/>
    <w:link w:val="a7"/>
    <w:uiPriority w:val="11"/>
    <w:rPr>
      <w:sz w:val="24"/>
      <w:szCs w:val="24"/>
    </w:rPr>
  </w:style>
  <w:style w:type="paragraph" w:styleId="22">
    <w:name w:val="Quote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customStyle="1" w:styleId="12">
    <w:name w:val="Верхний колонтитул1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</w:style>
  <w:style w:type="paragraph" w:customStyle="1" w:styleId="13">
    <w:name w:val="Нижний колонтитул1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customStyle="1" w:styleId="14">
    <w:name w:val="Название объекта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b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tblPr/>
      <w:tcPr>
        <w:shd w:val="clear" w:color="auto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8"/>
    <w:link w:val="24"/>
    <w:pPr>
      <w:widowControl w:val="0"/>
      <w:jc w:val="both"/>
    </w:pPr>
    <w:rPr>
      <w:szCs w:val="20"/>
    </w:rPr>
  </w:style>
  <w:style w:type="character" w:customStyle="1" w:styleId="24">
    <w:name w:val="Текст сноски Знак2"/>
    <w:link w:val="ad"/>
    <w:uiPriority w:val="99"/>
    <w:rPr>
      <w:sz w:val="18"/>
    </w:rPr>
  </w:style>
  <w:style w:type="character" w:styleId="ae">
    <w:name w:val="footnote reference"/>
    <w:uiPriority w:val="99"/>
    <w:unhideWhenUsed/>
    <w:rPr>
      <w:vertAlign w:val="superscript"/>
    </w:rPr>
  </w:style>
  <w:style w:type="paragraph" w:styleId="15">
    <w:name w:val="toc 1"/>
    <w:uiPriority w:val="39"/>
    <w:unhideWhenUsed/>
    <w:pPr>
      <w:spacing w:after="57"/>
    </w:pPr>
  </w:style>
  <w:style w:type="paragraph" w:styleId="25">
    <w:name w:val="toc 2"/>
    <w:uiPriority w:val="39"/>
    <w:unhideWhenUsed/>
    <w:pPr>
      <w:spacing w:after="57"/>
      <w:ind w:left="283"/>
    </w:pPr>
  </w:style>
  <w:style w:type="paragraph" w:styleId="30">
    <w:name w:val="toc 3"/>
    <w:uiPriority w:val="39"/>
    <w:unhideWhenUsed/>
    <w:pPr>
      <w:spacing w:after="57"/>
      <w:ind w:left="567"/>
    </w:pPr>
  </w:style>
  <w:style w:type="paragraph" w:styleId="40">
    <w:name w:val="toc 4"/>
    <w:uiPriority w:val="39"/>
    <w:unhideWhenUsed/>
    <w:pPr>
      <w:spacing w:after="57"/>
      <w:ind w:left="850"/>
    </w:pPr>
  </w:style>
  <w:style w:type="paragraph" w:styleId="50">
    <w:name w:val="toc 5"/>
    <w:uiPriority w:val="39"/>
    <w:unhideWhenUsed/>
    <w:pPr>
      <w:spacing w:after="57"/>
      <w:ind w:left="1134"/>
    </w:pPr>
  </w:style>
  <w:style w:type="paragraph" w:styleId="6">
    <w:name w:val="toc 6"/>
    <w:uiPriority w:val="39"/>
    <w:unhideWhenUsed/>
    <w:pPr>
      <w:spacing w:after="57"/>
      <w:ind w:left="1417"/>
    </w:pPr>
  </w:style>
  <w:style w:type="paragraph" w:styleId="70">
    <w:name w:val="toc 7"/>
    <w:uiPriority w:val="39"/>
    <w:unhideWhenUsed/>
    <w:pPr>
      <w:spacing w:after="57"/>
      <w:ind w:left="1701"/>
    </w:pPr>
  </w:style>
  <w:style w:type="paragraph" w:styleId="8">
    <w:name w:val="toc 8"/>
    <w:uiPriority w:val="39"/>
    <w:unhideWhenUsed/>
    <w:pPr>
      <w:spacing w:after="57"/>
      <w:ind w:left="1984"/>
    </w:pPr>
  </w:style>
  <w:style w:type="paragraph" w:styleId="9">
    <w:name w:val="toc 9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character" w:customStyle="1" w:styleId="WW8Num1z0">
    <w:name w:val="WW8Num1z0"/>
    <w:rPr>
      <w:rFonts w:eastAsia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2">
    <w:name w:val="Основной шрифт абзаца3"/>
  </w:style>
  <w:style w:type="character" w:customStyle="1" w:styleId="110">
    <w:name w:val="Заголовок 1 Знак1"/>
    <w:rPr>
      <w:b/>
      <w:sz w:val="36"/>
    </w:rPr>
  </w:style>
  <w:style w:type="character" w:customStyle="1" w:styleId="210">
    <w:name w:val="Заголовок 2 Знак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10">
    <w:name w:val="Заголовок 3 Знак1"/>
    <w:rPr>
      <w:rFonts w:ascii="Cambria" w:eastAsia="Times New Roman" w:hAnsi="Cambria"/>
      <w:b/>
      <w:bCs/>
      <w:sz w:val="26"/>
      <w:szCs w:val="26"/>
    </w:rPr>
  </w:style>
  <w:style w:type="character" w:customStyle="1" w:styleId="410">
    <w:name w:val="Заголовок 4 Знак1"/>
    <w:rPr>
      <w:rFonts w:ascii="Calibri" w:eastAsia="Times New Roman" w:hAnsi="Calibri"/>
      <w:b/>
      <w:bCs/>
      <w:sz w:val="28"/>
      <w:szCs w:val="28"/>
    </w:rPr>
  </w:style>
  <w:style w:type="character" w:customStyle="1" w:styleId="510">
    <w:name w:val="Заголовок 5 Знак1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710">
    <w:name w:val="Заголовок 7 Знак1"/>
    <w:rPr>
      <w:rFonts w:ascii="Calibri" w:eastAsia="Times New Roman" w:hAnsi="Calibri"/>
      <w:sz w:val="24"/>
      <w:szCs w:val="24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5">
    <w:name w:val="WW8Num3z5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OpenSymbol" w:eastAsia="OpenSymbol" w:hAnsi="Open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sz w:val="28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sz w:val="28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0">
    <w:name w:val="WW8Num17z0"/>
    <w:rPr>
      <w:rFonts w:ascii="OpenSymbol" w:eastAsia="OpenSymbol" w:hAnsi="OpenSymbol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1">
    <w:name w:val="WW8Num19z1"/>
    <w:rPr>
      <w:sz w:val="28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OpenSymbol" w:eastAsia="OpenSymbol" w:hAnsi="OpenSymbol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4">
    <w:name w:val="WW8Num25z4"/>
    <w:rPr>
      <w:rFonts w:ascii="Courier New" w:hAnsi="Courier New"/>
    </w:rPr>
  </w:style>
  <w:style w:type="character" w:customStyle="1" w:styleId="WW8Num26z0">
    <w:name w:val="WW8Num26z0"/>
    <w:rPr>
      <w:rFonts w:ascii="OpenSymbol" w:eastAsia="OpenSymbol" w:hAnsi="Open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OpenSymbol" w:eastAsia="OpenSymbol" w:hAnsi="OpenSymbol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4">
    <w:name w:val="WW8Num28z4"/>
    <w:rPr>
      <w:rFonts w:ascii="Courier New" w:hAnsi="Courier New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7z1">
    <w:name w:val="WW8Num37z1"/>
    <w:rPr>
      <w:rFonts w:ascii="Courier New" w:hAnsi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38z1">
    <w:name w:val="WW8Num38z1"/>
    <w:rPr>
      <w:rFonts w:ascii="Courier New" w:hAnsi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9z0">
    <w:name w:val="WW8Num39z0"/>
    <w:rPr>
      <w:rFonts w:ascii="Symbol" w:hAnsi="Symbol"/>
    </w:rPr>
  </w:style>
  <w:style w:type="character" w:customStyle="1" w:styleId="WW8Num39z1">
    <w:name w:val="WW8Num39z1"/>
    <w:rPr>
      <w:rFonts w:ascii="Courier New" w:hAnsi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40z0">
    <w:name w:val="WW8Num40z0"/>
    <w:rPr>
      <w:rFonts w:ascii="Times New Roman" w:hAnsi="Times New Roman"/>
    </w:rPr>
  </w:style>
  <w:style w:type="character" w:customStyle="1" w:styleId="WW8Num40z1">
    <w:name w:val="WW8Num40z1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0z4">
    <w:name w:val="WW8Num40z4"/>
    <w:rPr>
      <w:rFonts w:ascii="Courier New" w:hAnsi="Courier New"/>
    </w:rPr>
  </w:style>
  <w:style w:type="character" w:customStyle="1" w:styleId="WW8Num41z0">
    <w:name w:val="WW8Num41z0"/>
    <w:rPr>
      <w:rFonts w:ascii="OpenSymbol" w:eastAsia="OpenSymbol" w:hAnsi="OpenSymbol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0">
    <w:name w:val="WW8Num42z0"/>
    <w:rPr>
      <w:rFonts w:ascii="OpenSymbol" w:eastAsia="OpenSymbol" w:hAnsi="OpenSymbol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26">
    <w:name w:val="Основной шрифт абзаца2"/>
  </w:style>
  <w:style w:type="character" w:customStyle="1" w:styleId="16">
    <w:name w:val="Основной шрифт абзаца1"/>
  </w:style>
  <w:style w:type="character" w:customStyle="1" w:styleId="FontStyle23">
    <w:name w:val="Font Style23"/>
    <w:rPr>
      <w:rFonts w:ascii="Times New Roman" w:hAnsi="Times New Roman"/>
      <w:sz w:val="22"/>
    </w:rPr>
  </w:style>
  <w:style w:type="character" w:customStyle="1" w:styleId="af0">
    <w:name w:val="Символ нумерации"/>
  </w:style>
  <w:style w:type="character" w:customStyle="1" w:styleId="af1">
    <w:name w:val="Верхний колонтитул Знак"/>
    <w:rPr>
      <w:sz w:val="24"/>
    </w:rPr>
  </w:style>
  <w:style w:type="character" w:customStyle="1" w:styleId="27">
    <w:name w:val="Заголовок 2 Знак"/>
    <w:rPr>
      <w:sz w:val="28"/>
    </w:rPr>
  </w:style>
  <w:style w:type="character" w:customStyle="1" w:styleId="33">
    <w:name w:val="Заголовок 3 Знак"/>
    <w:rPr>
      <w:rFonts w:ascii="Arial" w:hAnsi="Arial"/>
      <w:b/>
      <w:sz w:val="26"/>
    </w:rPr>
  </w:style>
  <w:style w:type="character" w:customStyle="1" w:styleId="42">
    <w:name w:val="Заголовок 4 Знак"/>
    <w:rPr>
      <w:rFonts w:ascii="Calibri" w:hAnsi="Calibri"/>
      <w:b/>
      <w:sz w:val="28"/>
    </w:rPr>
  </w:style>
  <w:style w:type="character" w:customStyle="1" w:styleId="52">
    <w:name w:val="Заголовок 5 Знак"/>
    <w:rPr>
      <w:b/>
      <w:i/>
      <w:sz w:val="26"/>
    </w:rPr>
  </w:style>
  <w:style w:type="character" w:customStyle="1" w:styleId="72">
    <w:name w:val="Заголовок 7 Знак"/>
    <w:rPr>
      <w:sz w:val="24"/>
    </w:rPr>
  </w:style>
  <w:style w:type="character" w:customStyle="1" w:styleId="17">
    <w:name w:val="Заголовок 1 Знак"/>
    <w:rPr>
      <w:b/>
      <w:sz w:val="36"/>
    </w:rPr>
  </w:style>
  <w:style w:type="character" w:customStyle="1" w:styleId="af2">
    <w:name w:val="Нижний колонтитул Знак"/>
  </w:style>
  <w:style w:type="character" w:styleId="af3">
    <w:name w:val="page number"/>
    <w:basedOn w:val="32"/>
  </w:style>
  <w:style w:type="character" w:customStyle="1" w:styleId="af4">
    <w:name w:val="Основной текст с отступом Знак"/>
    <w:rPr>
      <w:sz w:val="28"/>
    </w:rPr>
  </w:style>
  <w:style w:type="character" w:customStyle="1" w:styleId="af5">
    <w:name w:val="Основной текст Знак"/>
    <w:rPr>
      <w:sz w:val="24"/>
    </w:rPr>
  </w:style>
  <w:style w:type="character" w:customStyle="1" w:styleId="af6">
    <w:name w:val="Символ сноски"/>
    <w:rPr>
      <w:vertAlign w:val="superscript"/>
    </w:rPr>
  </w:style>
  <w:style w:type="character" w:customStyle="1" w:styleId="af7">
    <w:name w:val="Текст сноски Знак"/>
    <w:rPr>
      <w:rFonts w:ascii="Arial" w:hAnsi="Arial"/>
    </w:rPr>
  </w:style>
  <w:style w:type="character" w:customStyle="1" w:styleId="FontStyle58">
    <w:name w:val="Font Style58"/>
    <w:rPr>
      <w:rFonts w:ascii="Times New Roman" w:hAnsi="Times New Roman"/>
      <w:b/>
      <w:spacing w:val="10"/>
      <w:sz w:val="24"/>
    </w:rPr>
  </w:style>
  <w:style w:type="character" w:customStyle="1" w:styleId="FontStyle61">
    <w:name w:val="Font Style61"/>
    <w:rPr>
      <w:rFonts w:ascii="Times New Roman" w:hAnsi="Times New Roman"/>
      <w:sz w:val="24"/>
    </w:rPr>
  </w:style>
  <w:style w:type="character" w:customStyle="1" w:styleId="FontStyle62">
    <w:name w:val="Font Style62"/>
    <w:rPr>
      <w:rFonts w:ascii="Times New Roman" w:hAnsi="Times New Roman"/>
      <w:sz w:val="18"/>
    </w:rPr>
  </w:style>
  <w:style w:type="character" w:customStyle="1" w:styleId="FontStyle63">
    <w:name w:val="Font Style63"/>
    <w:rPr>
      <w:rFonts w:ascii="Sylfaen" w:hAnsi="Sylfaen"/>
      <w:b/>
      <w:spacing w:val="10"/>
      <w:sz w:val="12"/>
    </w:rPr>
  </w:style>
  <w:style w:type="character" w:customStyle="1" w:styleId="FontStyle64">
    <w:name w:val="Font Style64"/>
    <w:rPr>
      <w:rFonts w:ascii="Times New Roman" w:hAnsi="Times New Roman"/>
      <w:sz w:val="16"/>
    </w:rPr>
  </w:style>
  <w:style w:type="character" w:customStyle="1" w:styleId="FontStyle65">
    <w:name w:val="Font Style65"/>
    <w:rPr>
      <w:rFonts w:ascii="Microsoft Sans Serif" w:hAnsi="Microsoft Sans Serif"/>
      <w:b/>
      <w:sz w:val="16"/>
    </w:rPr>
  </w:style>
  <w:style w:type="character" w:customStyle="1" w:styleId="FontStyle68">
    <w:name w:val="Font Style68"/>
    <w:rPr>
      <w:rFonts w:ascii="Times New Roman" w:hAnsi="Times New Roman"/>
      <w:sz w:val="18"/>
    </w:rPr>
  </w:style>
  <w:style w:type="character" w:customStyle="1" w:styleId="34">
    <w:name w:val="Основной текст 3 Знак"/>
    <w:rPr>
      <w:sz w:val="16"/>
    </w:rPr>
  </w:style>
  <w:style w:type="character" w:customStyle="1" w:styleId="35">
    <w:name w:val="Основной текст с отступом 3 Знак"/>
    <w:rPr>
      <w:sz w:val="16"/>
    </w:rPr>
  </w:style>
  <w:style w:type="character" w:customStyle="1" w:styleId="FontStyle95">
    <w:name w:val="Font Style95"/>
    <w:rPr>
      <w:rFonts w:ascii="Times New Roman" w:hAnsi="Times New Roman"/>
      <w:sz w:val="26"/>
    </w:rPr>
  </w:style>
  <w:style w:type="character" w:customStyle="1" w:styleId="af8">
    <w:name w:val="Название Знак"/>
    <w:rPr>
      <w:rFonts w:ascii="Arial" w:eastAsia="Times New Roman" w:hAnsi="Arial"/>
      <w:sz w:val="28"/>
    </w:rPr>
  </w:style>
  <w:style w:type="character" w:customStyle="1" w:styleId="FontStyle82">
    <w:name w:val="Font Style82"/>
    <w:rPr>
      <w:rFonts w:ascii="Times New Roman" w:hAnsi="Times New Roman"/>
      <w:sz w:val="20"/>
    </w:rPr>
  </w:style>
  <w:style w:type="character" w:customStyle="1" w:styleId="FontStyle83">
    <w:name w:val="Font Style83"/>
    <w:rPr>
      <w:rFonts w:ascii="Times New Roman" w:hAnsi="Times New Roman"/>
      <w:b/>
      <w:sz w:val="12"/>
    </w:rPr>
  </w:style>
  <w:style w:type="character" w:customStyle="1" w:styleId="FontStyle84">
    <w:name w:val="Font Style84"/>
    <w:rPr>
      <w:rFonts w:ascii="Impact" w:hAnsi="Impact"/>
      <w:i/>
      <w:sz w:val="8"/>
    </w:rPr>
  </w:style>
  <w:style w:type="character" w:customStyle="1" w:styleId="FontStyle97">
    <w:name w:val="Font Style97"/>
    <w:rPr>
      <w:rFonts w:ascii="Times New Roman" w:hAnsi="Times New Roman"/>
      <w:b/>
      <w:sz w:val="26"/>
    </w:rPr>
  </w:style>
  <w:style w:type="character" w:customStyle="1" w:styleId="FontStyle98">
    <w:name w:val="Font Style98"/>
    <w:rPr>
      <w:rFonts w:ascii="Times New Roman" w:hAnsi="Times New Roman"/>
      <w:b/>
      <w:sz w:val="20"/>
    </w:rPr>
  </w:style>
  <w:style w:type="character" w:customStyle="1" w:styleId="FontStyle100">
    <w:name w:val="Font Style100"/>
    <w:rPr>
      <w:rFonts w:ascii="Times New Roman" w:hAnsi="Times New Roman"/>
      <w:sz w:val="20"/>
    </w:rPr>
  </w:style>
  <w:style w:type="character" w:customStyle="1" w:styleId="HTML">
    <w:name w:val="Стандартный HTML Знак"/>
    <w:rPr>
      <w:rFonts w:ascii="Courier New" w:eastAsia="SimSun" w:hAnsi="Courier New"/>
      <w:lang w:eastAsia="hi-IN" w:bidi="hi-IN"/>
    </w:rPr>
  </w:style>
  <w:style w:type="character" w:customStyle="1" w:styleId="270">
    <w:name w:val="Знак Знак27"/>
    <w:rPr>
      <w:rFonts w:ascii="Arial" w:hAnsi="Arial"/>
      <w:b/>
      <w:sz w:val="32"/>
      <w:lang w:val="ru-RU" w:eastAsia="ar-SA" w:bidi="ar-SA"/>
    </w:rPr>
  </w:style>
  <w:style w:type="character" w:customStyle="1" w:styleId="28">
    <w:name w:val="Основной текст с отступом 2 Знак"/>
  </w:style>
  <w:style w:type="character" w:customStyle="1" w:styleId="PageNumber1">
    <w:name w:val="Page Number1"/>
  </w:style>
  <w:style w:type="character" w:customStyle="1" w:styleId="af9">
    <w:name w:val="Название объекта Знак"/>
    <w:rPr>
      <w:sz w:val="28"/>
    </w:rPr>
  </w:style>
  <w:style w:type="character" w:customStyle="1" w:styleId="311">
    <w:name w:val="Основной текст с отступом 3 Знак1"/>
    <w:rPr>
      <w:sz w:val="16"/>
    </w:rPr>
  </w:style>
  <w:style w:type="character" w:customStyle="1" w:styleId="29">
    <w:name w:val="Основной текст 2 Знак"/>
    <w:rPr>
      <w:rFonts w:ascii="Calibri" w:hAnsi="Calibri"/>
      <w:sz w:val="22"/>
    </w:rPr>
  </w:style>
  <w:style w:type="character" w:customStyle="1" w:styleId="afa">
    <w:name w:val="Текст выноски Знак"/>
    <w:rPr>
      <w:rFonts w:ascii="Tahoma" w:hAnsi="Tahoma"/>
      <w:sz w:val="16"/>
    </w:rPr>
  </w:style>
  <w:style w:type="character" w:customStyle="1" w:styleId="18">
    <w:name w:val="Основной текст Знак1"/>
    <w:rPr>
      <w:sz w:val="24"/>
      <w:szCs w:val="24"/>
    </w:rPr>
  </w:style>
  <w:style w:type="character" w:customStyle="1" w:styleId="19">
    <w:name w:val="Название Знак1"/>
    <w:rPr>
      <w:rFonts w:ascii="Cambria" w:eastAsia="Times New Roman" w:hAnsi="Cambria"/>
      <w:b/>
      <w:bCs/>
      <w:sz w:val="32"/>
      <w:szCs w:val="32"/>
    </w:rPr>
  </w:style>
  <w:style w:type="character" w:customStyle="1" w:styleId="afb">
    <w:name w:val="Подзаголовок Знак"/>
    <w:rPr>
      <w:rFonts w:ascii="Cambria" w:eastAsia="Times New Roman" w:hAnsi="Cambria"/>
      <w:sz w:val="24"/>
      <w:szCs w:val="24"/>
    </w:rPr>
  </w:style>
  <w:style w:type="character" w:customStyle="1" w:styleId="1a">
    <w:name w:val="Текст выноски Знак1"/>
    <w:rPr>
      <w:sz w:val="0"/>
      <w:szCs w:val="0"/>
    </w:rPr>
  </w:style>
  <w:style w:type="character" w:customStyle="1" w:styleId="1b">
    <w:name w:val="Верхний колонтитул Знак1"/>
    <w:rPr>
      <w:sz w:val="24"/>
      <w:szCs w:val="24"/>
    </w:rPr>
  </w:style>
  <w:style w:type="character" w:customStyle="1" w:styleId="1c">
    <w:name w:val="Нижний колонтитул Знак1"/>
    <w:rPr>
      <w:sz w:val="24"/>
      <w:szCs w:val="24"/>
    </w:rPr>
  </w:style>
  <w:style w:type="character" w:customStyle="1" w:styleId="1d">
    <w:name w:val="Основной текст с отступом Знак1"/>
    <w:rPr>
      <w:sz w:val="24"/>
      <w:szCs w:val="24"/>
    </w:rPr>
  </w:style>
  <w:style w:type="character" w:customStyle="1" w:styleId="1e">
    <w:name w:val="Текст сноски Знак1"/>
  </w:style>
  <w:style w:type="character" w:customStyle="1" w:styleId="HTML1">
    <w:name w:val="Стандартный HTML Знак1"/>
    <w:rPr>
      <w:rFonts w:ascii="Courier New" w:hAnsi="Courier New"/>
    </w:rPr>
  </w:style>
  <w:style w:type="character" w:customStyle="1" w:styleId="afc">
    <w:name w:val="Маркеры списка"/>
    <w:rPr>
      <w:rFonts w:ascii="OpenSymbol" w:eastAsia="OpenSymbol" w:hAnsi="OpenSymbol"/>
    </w:rPr>
  </w:style>
  <w:style w:type="paragraph" w:customStyle="1" w:styleId="a6">
    <w:name w:val="Заголовок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  <w:rPr>
      <w:lang w:val="en-US"/>
    </w:rPr>
  </w:style>
  <w:style w:type="paragraph" w:styleId="afd">
    <w:name w:val="List"/>
    <w:basedOn w:val="a8"/>
  </w:style>
  <w:style w:type="paragraph" w:customStyle="1" w:styleId="36">
    <w:name w:val="Название3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37">
    <w:name w:val="Указатель3"/>
    <w:basedOn w:val="a"/>
  </w:style>
  <w:style w:type="paragraph" w:customStyle="1" w:styleId="2a">
    <w:name w:val="Название2"/>
    <w:basedOn w:val="a"/>
    <w:pPr>
      <w:spacing w:before="120" w:after="120"/>
    </w:pPr>
    <w:rPr>
      <w:i/>
      <w:iCs/>
    </w:rPr>
  </w:style>
  <w:style w:type="paragraph" w:customStyle="1" w:styleId="2b">
    <w:name w:val="Указатель2"/>
    <w:basedOn w:val="a"/>
  </w:style>
  <w:style w:type="paragraph" w:customStyle="1" w:styleId="1f">
    <w:name w:val="Название1"/>
    <w:basedOn w:val="a"/>
    <w:pPr>
      <w:spacing w:before="120" w:after="120"/>
    </w:pPr>
    <w:rPr>
      <w:i/>
      <w:iCs/>
    </w:rPr>
  </w:style>
  <w:style w:type="paragraph" w:customStyle="1" w:styleId="1f0">
    <w:name w:val="Указатель1"/>
    <w:basedOn w:val="a"/>
  </w:style>
  <w:style w:type="paragraph" w:customStyle="1" w:styleId="FR2">
    <w:name w:val="FR2"/>
    <w:pPr>
      <w:widowControl w:val="0"/>
      <w:spacing w:before="500"/>
      <w:ind w:left="560"/>
    </w:pPr>
    <w:rPr>
      <w:sz w:val="28"/>
      <w:lang w:eastAsia="ar-SA" w:bidi="ar-SA"/>
    </w:rPr>
  </w:style>
  <w:style w:type="paragraph" w:customStyle="1" w:styleId="1f1">
    <w:name w:val="Текст1"/>
    <w:basedOn w:val="a"/>
    <w:rPr>
      <w:rFonts w:ascii="Courier New" w:hAnsi="Courier New"/>
      <w:szCs w:val="20"/>
    </w:rPr>
  </w:style>
  <w:style w:type="paragraph" w:styleId="afe">
    <w:name w:val="Balloon Text"/>
    <w:basedOn w:val="a"/>
    <w:rPr>
      <w:sz w:val="0"/>
      <w:szCs w:val="0"/>
      <w:lang w:val="en-US"/>
    </w:rPr>
  </w:style>
  <w:style w:type="paragraph" w:customStyle="1" w:styleId="140">
    <w:name w:val="Стиль14"/>
    <w:basedOn w:val="a"/>
    <w:pPr>
      <w:spacing w:before="280" w:after="280"/>
      <w:ind w:firstLine="720"/>
      <w:jc w:val="both"/>
    </w:pPr>
    <w:rPr>
      <w:sz w:val="28"/>
      <w:szCs w:val="20"/>
    </w:rPr>
  </w:style>
  <w:style w:type="paragraph" w:customStyle="1" w:styleId="aff">
    <w:name w:val="Знак Знак Знак"/>
    <w:basedOn w:val="a"/>
    <w:pPr>
      <w:spacing w:after="160" w:line="240" w:lineRule="exact"/>
    </w:pPr>
    <w:rPr>
      <w:rFonts w:ascii="Verdana" w:hAnsi="Verdana"/>
      <w:szCs w:val="20"/>
      <w:lang w:val="en-US"/>
    </w:rPr>
  </w:style>
  <w:style w:type="paragraph" w:customStyle="1" w:styleId="aff0">
    <w:name w:val="Содержимое врезки"/>
    <w:basedOn w:val="a8"/>
  </w:style>
  <w:style w:type="paragraph" w:customStyle="1" w:styleId="aff1">
    <w:name w:val="Содержимое таблицы"/>
    <w:basedOn w:val="a"/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ConsNormal">
    <w:name w:val="ConsNormal"/>
    <w:pPr>
      <w:ind w:firstLine="720"/>
    </w:pPr>
    <w:rPr>
      <w:rFonts w:ascii="Arial" w:hAnsi="Arial"/>
      <w:lang w:eastAsia="ar-SA" w:bidi="ar-SA"/>
    </w:rPr>
  </w:style>
  <w:style w:type="paragraph" w:styleId="aff3">
    <w:name w:val="header"/>
    <w:basedOn w:val="a"/>
    <w:rPr>
      <w:lang w:val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ar-SA" w:bidi="ar-SA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ar-SA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ar-SA" w:bidi="ar-SA"/>
    </w:rPr>
  </w:style>
  <w:style w:type="paragraph" w:styleId="aff4">
    <w:name w:val="footer"/>
    <w:basedOn w:val="a"/>
    <w:rPr>
      <w:lang w:val="en-US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/>
      <w:lang w:eastAsia="ar-SA" w:bidi="ar-SA"/>
    </w:rPr>
  </w:style>
  <w:style w:type="paragraph" w:styleId="aff5">
    <w:name w:val="Normal (Web)"/>
    <w:basedOn w:val="a"/>
    <w:pPr>
      <w:spacing w:before="280" w:after="280"/>
    </w:pPr>
  </w:style>
  <w:style w:type="paragraph" w:styleId="aff6">
    <w:name w:val="Body Text Indent"/>
    <w:basedOn w:val="a"/>
    <w:pPr>
      <w:ind w:firstLine="720"/>
      <w:jc w:val="both"/>
    </w:pPr>
    <w:rPr>
      <w:lang w:val="en-US"/>
    </w:rPr>
  </w:style>
  <w:style w:type="paragraph" w:customStyle="1" w:styleId="1f2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312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313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a"/>
    <w:pPr>
      <w:widowControl w:val="0"/>
      <w:ind w:firstLine="720"/>
      <w:jc w:val="both"/>
    </w:pPr>
    <w:rPr>
      <w:szCs w:val="20"/>
    </w:rPr>
  </w:style>
  <w:style w:type="paragraph" w:customStyle="1" w:styleId="Style32">
    <w:name w:val="Style32"/>
    <w:basedOn w:val="a"/>
    <w:pPr>
      <w:widowControl w:val="0"/>
      <w:spacing w:line="322" w:lineRule="exact"/>
      <w:ind w:firstLine="706"/>
      <w:jc w:val="both"/>
    </w:pPr>
  </w:style>
  <w:style w:type="paragraph" w:customStyle="1" w:styleId="Style1">
    <w:name w:val="Style1"/>
    <w:basedOn w:val="a"/>
    <w:pPr>
      <w:widowControl w:val="0"/>
      <w:jc w:val="both"/>
    </w:pPr>
  </w:style>
  <w:style w:type="paragraph" w:customStyle="1" w:styleId="Style11">
    <w:name w:val="Style11"/>
    <w:basedOn w:val="a"/>
    <w:pPr>
      <w:widowControl w:val="0"/>
      <w:jc w:val="center"/>
    </w:pPr>
  </w:style>
  <w:style w:type="paragraph" w:customStyle="1" w:styleId="Style13">
    <w:name w:val="Style13"/>
    <w:basedOn w:val="a"/>
    <w:pPr>
      <w:widowControl w:val="0"/>
    </w:pPr>
  </w:style>
  <w:style w:type="paragraph" w:customStyle="1" w:styleId="Style26">
    <w:name w:val="Style26"/>
    <w:basedOn w:val="a"/>
    <w:pPr>
      <w:widowControl w:val="0"/>
      <w:spacing w:line="269" w:lineRule="exact"/>
    </w:pPr>
  </w:style>
  <w:style w:type="paragraph" w:customStyle="1" w:styleId="Style40">
    <w:name w:val="Style40"/>
    <w:basedOn w:val="a"/>
    <w:pPr>
      <w:widowControl w:val="0"/>
      <w:spacing w:line="250" w:lineRule="exact"/>
    </w:pPr>
  </w:style>
  <w:style w:type="paragraph" w:customStyle="1" w:styleId="Style45">
    <w:name w:val="Style45"/>
    <w:basedOn w:val="a"/>
    <w:pPr>
      <w:widowControl w:val="0"/>
      <w:spacing w:line="206" w:lineRule="exact"/>
      <w:jc w:val="center"/>
    </w:pPr>
  </w:style>
  <w:style w:type="paragraph" w:customStyle="1" w:styleId="Style46">
    <w:name w:val="Style46"/>
    <w:basedOn w:val="a"/>
    <w:pPr>
      <w:widowControl w:val="0"/>
    </w:pPr>
  </w:style>
  <w:style w:type="paragraph" w:customStyle="1" w:styleId="Style17">
    <w:name w:val="Style17"/>
    <w:basedOn w:val="a"/>
    <w:pPr>
      <w:widowControl w:val="0"/>
      <w:spacing w:line="322" w:lineRule="exact"/>
    </w:pPr>
  </w:style>
  <w:style w:type="paragraph" w:customStyle="1" w:styleId="1f3">
    <w:name w:val="Название объекта1"/>
    <w:basedOn w:val="a"/>
    <w:pPr>
      <w:jc w:val="center"/>
    </w:pPr>
    <w:rPr>
      <w:sz w:val="28"/>
      <w:szCs w:val="20"/>
    </w:rPr>
  </w:style>
  <w:style w:type="paragraph" w:customStyle="1" w:styleId="Style14">
    <w:name w:val="Style14"/>
    <w:basedOn w:val="a"/>
    <w:pPr>
      <w:widowControl w:val="0"/>
      <w:spacing w:line="274" w:lineRule="exact"/>
      <w:jc w:val="center"/>
    </w:pPr>
  </w:style>
  <w:style w:type="paragraph" w:customStyle="1" w:styleId="Style19">
    <w:name w:val="Style19"/>
    <w:basedOn w:val="a"/>
    <w:pPr>
      <w:widowControl w:val="0"/>
    </w:pPr>
  </w:style>
  <w:style w:type="paragraph" w:customStyle="1" w:styleId="Style53">
    <w:name w:val="Style53"/>
    <w:basedOn w:val="a"/>
    <w:pPr>
      <w:widowControl w:val="0"/>
      <w:spacing w:line="269" w:lineRule="exact"/>
      <w:jc w:val="center"/>
    </w:pPr>
  </w:style>
  <w:style w:type="paragraph" w:customStyle="1" w:styleId="Style61">
    <w:name w:val="Style61"/>
    <w:basedOn w:val="a"/>
    <w:pPr>
      <w:widowControl w:val="0"/>
      <w:spacing w:line="278" w:lineRule="exact"/>
    </w:pPr>
  </w:style>
  <w:style w:type="paragraph" w:customStyle="1" w:styleId="Standard">
    <w:name w:val="Standard"/>
    <w:pPr>
      <w:widowControl w:val="0"/>
    </w:pPr>
    <w:rPr>
      <w:rFonts w:ascii="Arial" w:eastAsia="SimSun" w:hAnsi="Arial"/>
      <w:sz w:val="21"/>
      <w:szCs w:val="24"/>
      <w:lang w:eastAsia="hi-IN" w:bidi="hi-IN"/>
    </w:rPr>
  </w:style>
  <w:style w:type="paragraph" w:customStyle="1" w:styleId="Heading21">
    <w:name w:val="Heading 21"/>
    <w:basedOn w:val="Standard"/>
    <w:next w:val="Standard"/>
    <w:pPr>
      <w:keepNext/>
      <w:spacing w:line="360" w:lineRule="auto"/>
      <w:jc w:val="center"/>
    </w:pPr>
    <w:rPr>
      <w:rFonts w:ascii="Times New Roman" w:hAnsi="Times New Roman"/>
      <w:b/>
      <w:sz w:val="36"/>
      <w:szCs w:val="20"/>
    </w:rPr>
  </w:style>
  <w:style w:type="paragraph" w:customStyle="1" w:styleId="Heading31">
    <w:name w:val="Heading 31"/>
    <w:basedOn w:val="Standard"/>
    <w:next w:val="Standard"/>
    <w:pPr>
      <w:keepNext/>
      <w:spacing w:before="240" w:after="60"/>
    </w:pPr>
    <w:rPr>
      <w:b/>
      <w:bCs/>
      <w:sz w:val="26"/>
      <w:szCs w:val="26"/>
    </w:rPr>
  </w:style>
  <w:style w:type="paragraph" w:customStyle="1" w:styleId="Heading41">
    <w:name w:val="Heading 41"/>
    <w:basedOn w:val="Standard"/>
    <w:next w:val="Standard"/>
    <w:pPr>
      <w:keepNext/>
      <w:jc w:val="center"/>
    </w:pPr>
    <w:rPr>
      <w:b/>
      <w:color w:val="000000"/>
      <w:sz w:val="28"/>
      <w:szCs w:val="20"/>
    </w:rPr>
  </w:style>
  <w:style w:type="paragraph" w:styleId="HTML0">
    <w:name w:val="HTML Preformatted"/>
    <w:basedOn w:val="Standard"/>
    <w:rPr>
      <w:rFonts w:ascii="Courier New" w:eastAsia="Times New Roman" w:hAnsi="Courier New"/>
      <w:sz w:val="20"/>
      <w:szCs w:val="20"/>
      <w:lang w:val="en-US" w:eastAsia="ar-SA" w:bidi="ar-SA"/>
    </w:rPr>
  </w:style>
  <w:style w:type="paragraph" w:customStyle="1" w:styleId="314">
    <w:name w:val="Список 31"/>
    <w:basedOn w:val="Standard"/>
    <w:pPr>
      <w:ind w:left="926" w:hanging="360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szCs w:val="20"/>
    </w:rPr>
  </w:style>
  <w:style w:type="paragraph" w:customStyle="1" w:styleId="Footer1">
    <w:name w:val="Footer1"/>
    <w:basedOn w:val="Standard"/>
  </w:style>
  <w:style w:type="paragraph" w:customStyle="1" w:styleId="Textbodyindent">
    <w:name w:val="Text body indent"/>
    <w:basedOn w:val="Standard"/>
    <w:pPr>
      <w:shd w:val="clear" w:color="auto" w:fill="FFFFFF"/>
      <w:spacing w:line="360" w:lineRule="auto"/>
      <w:ind w:right="29" w:firstLine="709"/>
      <w:jc w:val="both"/>
    </w:pPr>
    <w:rPr>
      <w:color w:val="000000"/>
      <w:spacing w:val="-8"/>
    </w:rPr>
  </w:style>
  <w:style w:type="paragraph" w:customStyle="1" w:styleId="TableContents">
    <w:name w:val="Table Contents"/>
    <w:basedOn w:val="Standard"/>
  </w:style>
  <w:style w:type="paragraph" w:customStyle="1" w:styleId="1f4">
    <w:name w:val="Маркированный список 1"/>
    <w:basedOn w:val="a"/>
    <w:pPr>
      <w:spacing w:line="360" w:lineRule="auto"/>
      <w:ind w:left="1080" w:hanging="360"/>
      <w:jc w:val="both"/>
    </w:pPr>
    <w:rPr>
      <w:rFonts w:ascii="Arial" w:hAnsi="Aria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er1">
    <w:name w:val="Header1"/>
    <w:basedOn w:val="Standard"/>
  </w:style>
  <w:style w:type="paragraph" w:customStyle="1" w:styleId="Heading61">
    <w:name w:val="Heading 61"/>
    <w:basedOn w:val="Standard"/>
    <w:next w:val="Standard"/>
    <w:pPr>
      <w:spacing w:before="240" w:after="60"/>
    </w:pPr>
    <w:rPr>
      <w:b/>
      <w:bCs/>
      <w:sz w:val="22"/>
      <w:szCs w:val="22"/>
    </w:rPr>
  </w:style>
  <w:style w:type="paragraph" w:customStyle="1" w:styleId="212">
    <w:name w:val="Основной текст 21"/>
    <w:basedOn w:val="a"/>
    <w:pPr>
      <w:spacing w:after="120" w:line="480" w:lineRule="auto"/>
    </w:pPr>
    <w:rPr>
      <w:rFonts w:ascii="Calibri" w:hAnsi="Calibri"/>
      <w:sz w:val="22"/>
    </w:rPr>
  </w:style>
  <w:style w:type="paragraph" w:customStyle="1" w:styleId="BodyText22">
    <w:name w:val="Body Text 22"/>
    <w:basedOn w:val="a"/>
    <w:pPr>
      <w:widowControl w:val="0"/>
      <w:ind w:firstLine="720"/>
      <w:jc w:val="both"/>
    </w:pPr>
    <w:rPr>
      <w:szCs w:val="20"/>
    </w:rPr>
  </w:style>
  <w:style w:type="paragraph" w:customStyle="1" w:styleId="1f5">
    <w:name w:val="Нижний колонтитул1"/>
    <w:basedOn w:val="Standard"/>
  </w:style>
  <w:style w:type="paragraph" w:customStyle="1" w:styleId="1f6">
    <w:name w:val="Верхний колонтитул1"/>
    <w:basedOn w:val="Standa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6284</Words>
  <Characters>35825</Characters>
  <Application>Microsoft Office Word</Application>
  <DocSecurity>0</DocSecurity>
  <Lines>298</Lines>
  <Paragraphs>84</Paragraphs>
  <ScaleCrop>false</ScaleCrop>
  <Company/>
  <LinksUpToDate>false</LinksUpToDate>
  <CharactersWithSpaces>42025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Золотых</cp:lastModifiedBy>
  <cp:revision>5</cp:revision>
  <dcterms:created xsi:type="dcterms:W3CDTF">2021-01-12T12:18:00Z</dcterms:created>
  <dcterms:modified xsi:type="dcterms:W3CDTF">2021-01-13T08:31:00Z</dcterms:modified>
</cp:coreProperties>
</file>